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61"/>
        <w:tblW w:w="10515"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5070"/>
        <w:gridCol w:w="5445"/>
      </w:tblGrid>
      <w:tr w:rsidR="00A07E22" w:rsidRPr="00A07E22" w14:paraId="71AF723F" w14:textId="77777777" w:rsidTr="00F660DB">
        <w:trPr>
          <w:trHeight w:val="1695"/>
        </w:trPr>
        <w:tc>
          <w:tcPr>
            <w:tcW w:w="10515" w:type="dxa"/>
            <w:gridSpan w:val="2"/>
            <w:tcBorders>
              <w:top w:val="single" w:sz="6" w:space="0" w:color="auto"/>
              <w:left w:val="single" w:sz="6" w:space="0" w:color="auto"/>
              <w:right w:val="single" w:sz="6" w:space="0" w:color="auto"/>
            </w:tcBorders>
            <w:tcMar>
              <w:left w:w="105" w:type="dxa"/>
              <w:right w:w="105" w:type="dxa"/>
            </w:tcMar>
          </w:tcPr>
          <w:p w14:paraId="4A9C3281" w14:textId="77777777" w:rsidR="00A07E22" w:rsidRPr="00F660DB" w:rsidRDefault="00A07E22" w:rsidP="00A07E22">
            <w:pPr>
              <w:pStyle w:val="Heading4"/>
              <w:spacing w:line="259" w:lineRule="auto"/>
              <w:rPr>
                <w:rFonts w:ascii="Source Sans Pro" w:eastAsia="Source Sans Pro" w:hAnsi="Source Sans Pro" w:cs="Source Sans Pro"/>
                <w:b/>
                <w:bCs/>
                <w:i w:val="0"/>
                <w:iCs w:val="0"/>
                <w:sz w:val="23"/>
                <w:szCs w:val="23"/>
              </w:rPr>
            </w:pPr>
            <w:r w:rsidRPr="00F660DB">
              <w:rPr>
                <w:rFonts w:ascii="Source Sans Pro" w:eastAsia="Source Sans Pro" w:hAnsi="Source Sans Pro" w:cs="Source Sans Pro"/>
                <w:b/>
                <w:bCs/>
                <w:i w:val="0"/>
                <w:iCs w:val="0"/>
                <w:sz w:val="23"/>
                <w:szCs w:val="23"/>
              </w:rPr>
              <w:t>Early Fall Term (check with School/College)</w:t>
            </w:r>
          </w:p>
          <w:p w14:paraId="654A6271" w14:textId="2B908ECF" w:rsidR="00A07E22" w:rsidRPr="00F660DB" w:rsidRDefault="00A07E22" w:rsidP="00A07E22">
            <w:pPr>
              <w:spacing w:after="150" w:line="259" w:lineRule="auto"/>
              <w:rPr>
                <w:rFonts w:ascii="Source Sans Pro" w:eastAsia="Source Sans Pro" w:hAnsi="Source Sans Pro" w:cs="Source Sans Pro"/>
                <w:color w:val="000000" w:themeColor="text1"/>
                <w:sz w:val="23"/>
                <w:szCs w:val="23"/>
              </w:rPr>
            </w:pPr>
            <w:r w:rsidRPr="00F660DB">
              <w:rPr>
                <w:rFonts w:ascii="Source Sans Pro" w:eastAsia="Source Sans Pro" w:hAnsi="Source Sans Pro" w:cs="Source Sans Pro"/>
                <w:color w:val="000000" w:themeColor="text1"/>
                <w:sz w:val="23"/>
                <w:szCs w:val="23"/>
              </w:rPr>
              <w:t>Department head notifies candidate of impending 3</w:t>
            </w:r>
            <w:r w:rsidRPr="00F660DB">
              <w:rPr>
                <w:rFonts w:ascii="Source Sans Pro" w:eastAsia="Source Sans Pro" w:hAnsi="Source Sans Pro" w:cs="Source Sans Pro"/>
                <w:color w:val="000000" w:themeColor="text1"/>
                <w:sz w:val="23"/>
                <w:szCs w:val="23"/>
                <w:vertAlign w:val="superscript"/>
              </w:rPr>
              <w:t>rd</w:t>
            </w:r>
            <w:r w:rsidRPr="00F660DB">
              <w:rPr>
                <w:rFonts w:ascii="Source Sans Pro" w:eastAsia="Source Sans Pro" w:hAnsi="Source Sans Pro" w:cs="Source Sans Pro"/>
                <w:color w:val="000000" w:themeColor="text1"/>
                <w:sz w:val="23"/>
                <w:szCs w:val="23"/>
              </w:rPr>
              <w:t xml:space="preserve"> year review and sets submission deadlines. Informal cases are reviewed early in the academic year to allow for a possible decision by the </w:t>
            </w:r>
            <w:proofErr w:type="gramStart"/>
            <w:r w:rsidRPr="00F660DB">
              <w:rPr>
                <w:rFonts w:ascii="Source Sans Pro" w:eastAsia="Source Sans Pro" w:hAnsi="Source Sans Pro" w:cs="Source Sans Pro"/>
                <w:color w:val="000000" w:themeColor="text1"/>
                <w:sz w:val="23"/>
                <w:szCs w:val="23"/>
              </w:rPr>
              <w:t>Provost</w:t>
            </w:r>
            <w:proofErr w:type="gramEnd"/>
            <w:r w:rsidRPr="00F660DB">
              <w:rPr>
                <w:rFonts w:ascii="Source Sans Pro" w:eastAsia="Source Sans Pro" w:hAnsi="Source Sans Pro" w:cs="Source Sans Pro"/>
                <w:color w:val="000000" w:themeColor="text1"/>
                <w:sz w:val="23"/>
                <w:szCs w:val="23"/>
              </w:rPr>
              <w:t xml:space="preserve"> that the file requires a formal review. Templates can be found on </w:t>
            </w:r>
            <w:hyperlink r:id="rId9">
              <w:r w:rsidRPr="00F660DB">
                <w:rPr>
                  <w:rStyle w:val="Hyperlink"/>
                  <w:rFonts w:ascii="Source Sans Pro" w:eastAsia="Source Sans Pro" w:hAnsi="Source Sans Pro" w:cs="Source Sans Pro"/>
                  <w:sz w:val="23"/>
                  <w:szCs w:val="23"/>
                </w:rPr>
                <w:t>Provost’s instructions, forms, and templates webpage</w:t>
              </w:r>
            </w:hyperlink>
            <w:r w:rsidRPr="00F660DB">
              <w:rPr>
                <w:rStyle w:val="Hyperlink"/>
                <w:rFonts w:ascii="Source Sans Pro" w:eastAsia="Source Sans Pro" w:hAnsi="Source Sans Pro" w:cs="Source Sans Pro"/>
                <w:sz w:val="23"/>
                <w:szCs w:val="23"/>
              </w:rPr>
              <w:t>.</w:t>
            </w:r>
          </w:p>
        </w:tc>
      </w:tr>
      <w:tr w:rsidR="00A07E22" w:rsidRPr="00A07E22" w14:paraId="69E76390" w14:textId="77777777" w:rsidTr="00A07E22">
        <w:trPr>
          <w:trHeight w:val="1245"/>
        </w:trPr>
        <w:tc>
          <w:tcPr>
            <w:tcW w:w="10515" w:type="dxa"/>
            <w:gridSpan w:val="2"/>
            <w:tcBorders>
              <w:top w:val="single" w:sz="6" w:space="0" w:color="auto"/>
              <w:left w:val="single" w:sz="6" w:space="0" w:color="auto"/>
              <w:right w:val="single" w:sz="6" w:space="0" w:color="auto"/>
            </w:tcBorders>
            <w:tcMar>
              <w:left w:w="105" w:type="dxa"/>
              <w:right w:w="105" w:type="dxa"/>
            </w:tcMar>
          </w:tcPr>
          <w:p w14:paraId="72BEDBFC" w14:textId="77777777" w:rsidR="00A07E22" w:rsidRPr="00F660DB" w:rsidRDefault="00A07E22" w:rsidP="00A07E22">
            <w:pPr>
              <w:pStyle w:val="Heading4"/>
              <w:spacing w:line="259" w:lineRule="auto"/>
              <w:rPr>
                <w:rFonts w:ascii="Source Sans Pro" w:eastAsia="Source Sans Pro" w:hAnsi="Source Sans Pro" w:cs="Source Sans Pro"/>
                <w:b/>
                <w:bCs/>
                <w:i w:val="0"/>
                <w:iCs w:val="0"/>
                <w:sz w:val="23"/>
                <w:szCs w:val="23"/>
              </w:rPr>
            </w:pPr>
            <w:r w:rsidRPr="00F660DB">
              <w:rPr>
                <w:rFonts w:ascii="Source Sans Pro" w:eastAsia="Source Sans Pro" w:hAnsi="Source Sans Pro" w:cs="Source Sans Pro"/>
                <w:b/>
                <w:bCs/>
                <w:i w:val="0"/>
                <w:iCs w:val="0"/>
                <w:sz w:val="23"/>
                <w:szCs w:val="23"/>
              </w:rPr>
              <w:t>Late Fall/Early Winter Term (check with School/College)</w:t>
            </w:r>
          </w:p>
          <w:p w14:paraId="1F0A518D" w14:textId="77777777" w:rsidR="00A07E22" w:rsidRPr="00F660DB" w:rsidRDefault="00A07E22" w:rsidP="00A07E22">
            <w:pPr>
              <w:spacing w:line="259" w:lineRule="auto"/>
              <w:rPr>
                <w:rFonts w:ascii="Source Sans Pro" w:eastAsia="Source Sans Pro" w:hAnsi="Source Sans Pro" w:cs="Source Sans Pro"/>
                <w:color w:val="000000" w:themeColor="text1"/>
                <w:sz w:val="23"/>
                <w:szCs w:val="23"/>
              </w:rPr>
            </w:pPr>
            <w:r w:rsidRPr="00F660DB">
              <w:rPr>
                <w:rFonts w:ascii="Source Sans Pro" w:eastAsia="Source Sans Pro" w:hAnsi="Source Sans Pro" w:cs="Source Sans Pro"/>
                <w:color w:val="000000" w:themeColor="text1"/>
                <w:sz w:val="23"/>
                <w:szCs w:val="23"/>
              </w:rPr>
              <w:t>Department head and dean agree on whether a 3rd-year PTR will be informal or formal. Note that the Office of the Provost (</w:t>
            </w:r>
            <w:proofErr w:type="spellStart"/>
            <w:r w:rsidRPr="00F660DB">
              <w:rPr>
                <w:rFonts w:ascii="Source Sans Pro" w:eastAsia="Source Sans Pro" w:hAnsi="Source Sans Pro" w:cs="Source Sans Pro"/>
                <w:color w:val="000000" w:themeColor="text1"/>
                <w:sz w:val="23"/>
                <w:szCs w:val="23"/>
              </w:rPr>
              <w:t>OtP</w:t>
            </w:r>
            <w:proofErr w:type="spellEnd"/>
            <w:r w:rsidRPr="00F660DB">
              <w:rPr>
                <w:rFonts w:ascii="Source Sans Pro" w:eastAsia="Source Sans Pro" w:hAnsi="Source Sans Pro" w:cs="Source Sans Pro"/>
                <w:color w:val="000000" w:themeColor="text1"/>
                <w:sz w:val="23"/>
                <w:szCs w:val="23"/>
              </w:rPr>
              <w:t xml:space="preserve">) may later determine that a formal review is necessary for the candidate during the review process. </w:t>
            </w:r>
          </w:p>
        </w:tc>
      </w:tr>
      <w:tr w:rsidR="00A07E22" w:rsidRPr="00A07E22" w14:paraId="704BF7D2" w14:textId="77777777" w:rsidTr="00A07E22">
        <w:trPr>
          <w:trHeight w:val="300"/>
        </w:trPr>
        <w:tc>
          <w:tcPr>
            <w:tcW w:w="5070" w:type="dxa"/>
            <w:tcBorders>
              <w:left w:val="single" w:sz="6" w:space="0" w:color="auto"/>
              <w:right w:val="single" w:sz="6" w:space="0" w:color="auto"/>
            </w:tcBorders>
            <w:tcMar>
              <w:left w:w="105" w:type="dxa"/>
              <w:right w:w="105" w:type="dxa"/>
            </w:tcMar>
          </w:tcPr>
          <w:p w14:paraId="6CE3873E" w14:textId="6A5C98F3" w:rsidR="00A07E22" w:rsidRPr="00F660DB" w:rsidRDefault="00A07E22" w:rsidP="00A07E22">
            <w:pPr>
              <w:spacing w:line="259" w:lineRule="auto"/>
              <w:jc w:val="center"/>
              <w:rPr>
                <w:rFonts w:ascii="Source Sans Pro" w:eastAsia="Source Sans Pro" w:hAnsi="Source Sans Pro" w:cs="Source Sans Pro"/>
                <w:b/>
                <w:bCs/>
                <w:color w:val="000000" w:themeColor="text1"/>
                <w:sz w:val="23"/>
                <w:szCs w:val="23"/>
              </w:rPr>
            </w:pPr>
            <w:r w:rsidRPr="00F660DB">
              <w:rPr>
                <w:rFonts w:ascii="Source Sans Pro" w:eastAsia="Source Sans Pro" w:hAnsi="Source Sans Pro" w:cs="Source Sans Pro"/>
                <w:b/>
                <w:bCs/>
                <w:color w:val="000000" w:themeColor="text1"/>
                <w:sz w:val="23"/>
                <w:szCs w:val="23"/>
              </w:rPr>
              <w:t>Informal Process</w:t>
            </w:r>
          </w:p>
        </w:tc>
        <w:tc>
          <w:tcPr>
            <w:tcW w:w="5445" w:type="dxa"/>
            <w:tcBorders>
              <w:right w:val="single" w:sz="6" w:space="0" w:color="auto"/>
            </w:tcBorders>
            <w:tcMar>
              <w:left w:w="105" w:type="dxa"/>
              <w:right w:w="105" w:type="dxa"/>
            </w:tcMar>
          </w:tcPr>
          <w:p w14:paraId="6FC83FFE" w14:textId="77777777" w:rsidR="00A07E22" w:rsidRPr="00F660DB" w:rsidRDefault="00A07E22" w:rsidP="00A07E22">
            <w:pPr>
              <w:spacing w:line="259" w:lineRule="auto"/>
              <w:jc w:val="center"/>
              <w:rPr>
                <w:rFonts w:ascii="Source Sans Pro" w:eastAsia="Source Sans Pro" w:hAnsi="Source Sans Pro" w:cs="Source Sans Pro"/>
                <w:color w:val="000000" w:themeColor="text1"/>
                <w:sz w:val="23"/>
                <w:szCs w:val="23"/>
              </w:rPr>
            </w:pPr>
            <w:r w:rsidRPr="00F660DB">
              <w:rPr>
                <w:rFonts w:ascii="Source Sans Pro" w:eastAsia="Source Sans Pro" w:hAnsi="Source Sans Pro" w:cs="Source Sans Pro"/>
                <w:b/>
                <w:bCs/>
                <w:color w:val="000000" w:themeColor="text1"/>
                <w:sz w:val="23"/>
                <w:szCs w:val="23"/>
              </w:rPr>
              <w:t>Formal Process</w:t>
            </w:r>
          </w:p>
        </w:tc>
      </w:tr>
      <w:tr w:rsidR="00A07E22" w:rsidRPr="00A07E22" w14:paraId="7101C281" w14:textId="77777777" w:rsidTr="00A07E22">
        <w:trPr>
          <w:trHeight w:val="300"/>
        </w:trPr>
        <w:tc>
          <w:tcPr>
            <w:tcW w:w="5070" w:type="dxa"/>
            <w:tcBorders>
              <w:left w:val="single" w:sz="6" w:space="0" w:color="auto"/>
            </w:tcBorders>
            <w:tcMar>
              <w:left w:w="105" w:type="dxa"/>
              <w:right w:w="105" w:type="dxa"/>
            </w:tcMar>
          </w:tcPr>
          <w:p w14:paraId="2D6F1991" w14:textId="77777777" w:rsidR="00A07E22" w:rsidRPr="00F660DB" w:rsidRDefault="00A07E22" w:rsidP="00A07E22">
            <w:pPr>
              <w:spacing w:line="259" w:lineRule="auto"/>
              <w:jc w:val="center"/>
              <w:rPr>
                <w:rFonts w:ascii="Source Sans Pro" w:eastAsia="Source Sans Pro" w:hAnsi="Source Sans Pro" w:cs="Source Sans Pro"/>
                <w:color w:val="000000" w:themeColor="text1"/>
                <w:sz w:val="23"/>
                <w:szCs w:val="23"/>
              </w:rPr>
            </w:pPr>
            <w:r w:rsidRPr="00F660DB">
              <w:rPr>
                <w:rFonts w:ascii="Source Sans Pro" w:eastAsia="Source Sans Pro" w:hAnsi="Source Sans Pro" w:cs="Source Sans Pro"/>
                <w:color w:val="000000" w:themeColor="text1"/>
                <w:sz w:val="23"/>
                <w:szCs w:val="23"/>
              </w:rPr>
              <w:t>Department Head reviews materials and writes a brief statement. See template for department head letter.</w:t>
            </w:r>
          </w:p>
        </w:tc>
        <w:tc>
          <w:tcPr>
            <w:tcW w:w="5445" w:type="dxa"/>
            <w:tcBorders>
              <w:right w:val="single" w:sz="6" w:space="0" w:color="auto"/>
            </w:tcBorders>
            <w:tcMar>
              <w:left w:w="105" w:type="dxa"/>
              <w:right w:w="105" w:type="dxa"/>
            </w:tcMar>
          </w:tcPr>
          <w:p w14:paraId="1A34A745" w14:textId="77777777" w:rsidR="00A07E22" w:rsidRPr="00F660DB" w:rsidRDefault="00A07E22" w:rsidP="00A07E22">
            <w:pPr>
              <w:spacing w:line="259" w:lineRule="auto"/>
              <w:jc w:val="center"/>
              <w:rPr>
                <w:rFonts w:ascii="Source Sans Pro" w:eastAsia="Source Sans Pro" w:hAnsi="Source Sans Pro" w:cs="Source Sans Pro"/>
                <w:color w:val="000000" w:themeColor="text1"/>
                <w:sz w:val="23"/>
                <w:szCs w:val="23"/>
              </w:rPr>
            </w:pPr>
            <w:r w:rsidRPr="00F660DB">
              <w:rPr>
                <w:rFonts w:ascii="Source Sans Pro" w:eastAsia="Source Sans Pro" w:hAnsi="Source Sans Pro" w:cs="Source Sans Pro"/>
                <w:color w:val="000000" w:themeColor="text1"/>
                <w:sz w:val="23"/>
                <w:szCs w:val="23"/>
              </w:rPr>
              <w:t>Notify candidate of formal 3PTR. See template for notification letter.</w:t>
            </w:r>
          </w:p>
        </w:tc>
      </w:tr>
      <w:tr w:rsidR="00A07E22" w:rsidRPr="00A07E22" w14:paraId="41307257" w14:textId="77777777" w:rsidTr="00A07E22">
        <w:trPr>
          <w:trHeight w:val="300"/>
        </w:trPr>
        <w:tc>
          <w:tcPr>
            <w:tcW w:w="5070" w:type="dxa"/>
            <w:tcBorders>
              <w:left w:val="single" w:sz="6" w:space="0" w:color="auto"/>
            </w:tcBorders>
            <w:tcMar>
              <w:left w:w="105" w:type="dxa"/>
              <w:right w:w="105" w:type="dxa"/>
            </w:tcMar>
          </w:tcPr>
          <w:p w14:paraId="6B8FB0CB" w14:textId="77777777" w:rsidR="00A07E22" w:rsidRPr="00F660DB" w:rsidRDefault="00A07E22" w:rsidP="00A07E22">
            <w:pPr>
              <w:spacing w:line="259" w:lineRule="auto"/>
              <w:jc w:val="center"/>
              <w:rPr>
                <w:rFonts w:ascii="Source Sans Pro" w:eastAsia="Source Sans Pro" w:hAnsi="Source Sans Pro" w:cs="Source Sans Pro"/>
                <w:color w:val="000000" w:themeColor="text1"/>
                <w:sz w:val="23"/>
                <w:szCs w:val="23"/>
              </w:rPr>
            </w:pPr>
            <w:r w:rsidRPr="00F660DB">
              <w:rPr>
                <w:rFonts w:ascii="Source Sans Pro" w:eastAsia="Source Sans Pro" w:hAnsi="Source Sans Pro" w:cs="Source Sans Pro"/>
                <w:color w:val="000000" w:themeColor="text1"/>
                <w:sz w:val="23"/>
                <w:szCs w:val="23"/>
              </w:rPr>
              <w:t>Head sends statement to candidate, who has 10 business days to respond.</w:t>
            </w:r>
          </w:p>
        </w:tc>
        <w:tc>
          <w:tcPr>
            <w:tcW w:w="5445" w:type="dxa"/>
            <w:tcBorders>
              <w:right w:val="single" w:sz="6" w:space="0" w:color="auto"/>
            </w:tcBorders>
            <w:tcMar>
              <w:left w:w="105" w:type="dxa"/>
              <w:right w:w="105" w:type="dxa"/>
            </w:tcMar>
          </w:tcPr>
          <w:p w14:paraId="027E452D" w14:textId="66BA7588" w:rsidR="00A07E22" w:rsidRPr="00F660DB" w:rsidRDefault="00A07E22" w:rsidP="00A07E22">
            <w:pPr>
              <w:spacing w:line="259" w:lineRule="auto"/>
              <w:jc w:val="center"/>
              <w:rPr>
                <w:rFonts w:ascii="Source Sans Pro" w:eastAsia="Source Sans Pro" w:hAnsi="Source Sans Pro" w:cs="Source Sans Pro"/>
                <w:color w:val="000000" w:themeColor="text1"/>
                <w:sz w:val="23"/>
                <w:szCs w:val="23"/>
              </w:rPr>
            </w:pPr>
            <w:r w:rsidRPr="00F660DB">
              <w:rPr>
                <w:rFonts w:ascii="Source Sans Pro" w:eastAsia="Source Sans Pro" w:hAnsi="Source Sans Pro" w:cs="Source Sans Pro"/>
                <w:color w:val="000000" w:themeColor="text1"/>
                <w:sz w:val="23"/>
                <w:szCs w:val="23"/>
              </w:rPr>
              <w:t xml:space="preserve">Unit PTR committee reviews the candidate’s work in relation to the unit-level post-tenure review criteria. </w:t>
            </w:r>
            <w:r w:rsidR="008A7A2E">
              <w:rPr>
                <w:rFonts w:ascii="Source Sans Pro" w:eastAsia="Source Sans Pro" w:hAnsi="Source Sans Pro" w:cs="Source Sans Pro"/>
                <w:color w:val="000000" w:themeColor="text1"/>
                <w:sz w:val="23"/>
                <w:szCs w:val="23"/>
              </w:rPr>
              <w:t>Committee members record de-identified committee vote tally.</w:t>
            </w:r>
          </w:p>
        </w:tc>
      </w:tr>
      <w:tr w:rsidR="00A07E22" w:rsidRPr="00A07E22" w14:paraId="681B2D68" w14:textId="77777777" w:rsidTr="00A07E22">
        <w:trPr>
          <w:trHeight w:val="300"/>
        </w:trPr>
        <w:tc>
          <w:tcPr>
            <w:tcW w:w="5070" w:type="dxa"/>
            <w:tcBorders>
              <w:left w:val="single" w:sz="6" w:space="0" w:color="auto"/>
            </w:tcBorders>
            <w:tcMar>
              <w:left w:w="105" w:type="dxa"/>
              <w:right w:w="105" w:type="dxa"/>
            </w:tcMar>
          </w:tcPr>
          <w:p w14:paraId="7A9F46C6" w14:textId="044FFB15" w:rsidR="00A07E22" w:rsidRPr="00F660DB" w:rsidRDefault="00A07E22" w:rsidP="00A07E22">
            <w:pPr>
              <w:spacing w:line="259" w:lineRule="auto"/>
              <w:jc w:val="center"/>
              <w:rPr>
                <w:rFonts w:ascii="Source Sans Pro" w:eastAsia="Source Sans Pro" w:hAnsi="Source Sans Pro" w:cs="Source Sans Pro"/>
                <w:color w:val="000000" w:themeColor="text1"/>
                <w:sz w:val="23"/>
                <w:szCs w:val="23"/>
              </w:rPr>
            </w:pPr>
            <w:r w:rsidRPr="00F660DB">
              <w:rPr>
                <w:rFonts w:ascii="Source Sans Pro" w:eastAsia="Source Sans Pro" w:hAnsi="Source Sans Pro" w:cs="Source Sans Pro"/>
                <w:b/>
                <w:bCs/>
                <w:color w:val="2F5496" w:themeColor="accent1" w:themeShade="BF"/>
                <w:sz w:val="23"/>
                <w:szCs w:val="23"/>
              </w:rPr>
              <w:t xml:space="preserve">January 31: </w:t>
            </w:r>
            <w:r w:rsidRPr="00F660DB">
              <w:rPr>
                <w:rFonts w:ascii="Source Sans Pro" w:eastAsiaTheme="minorEastAsia" w:hAnsi="Source Sans Pro"/>
                <w:color w:val="000000" w:themeColor="text1"/>
                <w:sz w:val="23"/>
                <w:szCs w:val="23"/>
              </w:rPr>
              <w:t xml:space="preserve">Informal files due to </w:t>
            </w:r>
            <w:proofErr w:type="spellStart"/>
            <w:r w:rsidR="00F660DB">
              <w:rPr>
                <w:rFonts w:ascii="Source Sans Pro" w:eastAsia="Source Sans Pro" w:hAnsi="Source Sans Pro" w:cs="Source Sans Pro"/>
                <w:color w:val="000000" w:themeColor="text1"/>
                <w:sz w:val="23"/>
                <w:szCs w:val="23"/>
              </w:rPr>
              <w:t>OtP</w:t>
            </w:r>
            <w:proofErr w:type="spellEnd"/>
            <w:r w:rsidR="00F660DB">
              <w:rPr>
                <w:rFonts w:ascii="Source Sans Pro" w:eastAsia="Source Sans Pro" w:hAnsi="Source Sans Pro" w:cs="Source Sans Pro"/>
                <w:color w:val="000000" w:themeColor="text1"/>
                <w:sz w:val="23"/>
                <w:szCs w:val="23"/>
              </w:rPr>
              <w:t>.</w:t>
            </w:r>
          </w:p>
        </w:tc>
        <w:tc>
          <w:tcPr>
            <w:tcW w:w="5445" w:type="dxa"/>
            <w:tcBorders>
              <w:right w:val="single" w:sz="6" w:space="0" w:color="auto"/>
            </w:tcBorders>
            <w:tcMar>
              <w:left w:w="105" w:type="dxa"/>
              <w:right w:w="105" w:type="dxa"/>
            </w:tcMar>
          </w:tcPr>
          <w:p w14:paraId="4B6B2299" w14:textId="5AC7C074" w:rsidR="00A07E22" w:rsidRPr="00F660DB" w:rsidRDefault="00D43E6D" w:rsidP="00A07E22">
            <w:pPr>
              <w:spacing w:line="259" w:lineRule="auto"/>
              <w:jc w:val="center"/>
              <w:rPr>
                <w:rFonts w:ascii="Source Sans Pro" w:eastAsia="Source Sans Pro" w:hAnsi="Source Sans Pro" w:cs="Source Sans Pro"/>
                <w:color w:val="000000" w:themeColor="text1"/>
                <w:sz w:val="23"/>
                <w:szCs w:val="23"/>
              </w:rPr>
            </w:pPr>
            <w:r>
              <w:rPr>
                <w:rFonts w:ascii="Source Sans Pro" w:eastAsia="Source Sans Pro" w:hAnsi="Source Sans Pro" w:cs="Source Sans Pro"/>
                <w:color w:val="000000" w:themeColor="text1"/>
                <w:sz w:val="23"/>
                <w:szCs w:val="23"/>
              </w:rPr>
              <w:t>Only if department policy requires: E</w:t>
            </w:r>
            <w:r w:rsidR="00A07E22" w:rsidRPr="00F660DB">
              <w:rPr>
                <w:rFonts w:ascii="Source Sans Pro" w:eastAsia="Source Sans Pro" w:hAnsi="Source Sans Pro" w:cs="Source Sans Pro"/>
                <w:color w:val="000000" w:themeColor="text1"/>
                <w:sz w:val="23"/>
                <w:szCs w:val="23"/>
              </w:rPr>
              <w:t>ligible faculty vote to endorse the committee’s report.</w:t>
            </w:r>
          </w:p>
        </w:tc>
      </w:tr>
      <w:tr w:rsidR="00A07E22" w:rsidRPr="00A07E22" w14:paraId="7C9D70E8" w14:textId="77777777" w:rsidTr="00A07E22">
        <w:trPr>
          <w:trHeight w:val="2730"/>
        </w:trPr>
        <w:tc>
          <w:tcPr>
            <w:tcW w:w="5070" w:type="dxa"/>
            <w:tcBorders>
              <w:left w:val="single" w:sz="6" w:space="0" w:color="auto"/>
            </w:tcBorders>
            <w:tcMar>
              <w:left w:w="105" w:type="dxa"/>
              <w:right w:w="105" w:type="dxa"/>
            </w:tcMar>
          </w:tcPr>
          <w:p w14:paraId="75A9E936" w14:textId="77777777" w:rsidR="00A07E22" w:rsidRPr="00F660DB" w:rsidRDefault="00A07E22" w:rsidP="00A07E22">
            <w:pPr>
              <w:spacing w:line="259" w:lineRule="auto"/>
              <w:jc w:val="center"/>
              <w:rPr>
                <w:rFonts w:ascii="Source Sans Pro" w:eastAsia="Source Sans Pro" w:hAnsi="Source Sans Pro" w:cs="Source Sans Pro"/>
                <w:color w:val="000000" w:themeColor="text1"/>
                <w:sz w:val="23"/>
                <w:szCs w:val="23"/>
              </w:rPr>
            </w:pPr>
            <w:proofErr w:type="spellStart"/>
            <w:r w:rsidRPr="00F660DB">
              <w:rPr>
                <w:rFonts w:ascii="Source Sans Pro" w:eastAsia="Source Sans Pro" w:hAnsi="Source Sans Pro" w:cs="Source Sans Pro"/>
                <w:color w:val="000000" w:themeColor="text1"/>
                <w:sz w:val="23"/>
                <w:szCs w:val="23"/>
              </w:rPr>
              <w:t>OtP</w:t>
            </w:r>
            <w:proofErr w:type="spellEnd"/>
            <w:r w:rsidRPr="00F660DB">
              <w:rPr>
                <w:rFonts w:ascii="Source Sans Pro" w:eastAsia="Source Sans Pro" w:hAnsi="Source Sans Pro" w:cs="Source Sans Pro"/>
                <w:color w:val="000000" w:themeColor="text1"/>
                <w:sz w:val="23"/>
                <w:szCs w:val="23"/>
              </w:rPr>
              <w:t xml:space="preserve"> approves informal review or calls for formal review.</w:t>
            </w:r>
          </w:p>
          <w:p w14:paraId="1264B52E" w14:textId="77777777" w:rsidR="00A07E22" w:rsidRPr="00F660DB" w:rsidRDefault="00A07E22" w:rsidP="00A07E22">
            <w:pPr>
              <w:spacing w:line="259" w:lineRule="auto"/>
              <w:jc w:val="center"/>
              <w:rPr>
                <w:rFonts w:ascii="Source Sans Pro" w:eastAsia="Source Sans Pro" w:hAnsi="Source Sans Pro" w:cs="Source Sans Pro"/>
                <w:color w:val="000000" w:themeColor="text1"/>
                <w:sz w:val="23"/>
                <w:szCs w:val="23"/>
              </w:rPr>
            </w:pPr>
          </w:p>
        </w:tc>
        <w:tc>
          <w:tcPr>
            <w:tcW w:w="5445" w:type="dxa"/>
            <w:tcBorders>
              <w:right w:val="single" w:sz="6" w:space="0" w:color="auto"/>
            </w:tcBorders>
            <w:tcMar>
              <w:left w:w="105" w:type="dxa"/>
              <w:right w:w="105" w:type="dxa"/>
            </w:tcMar>
          </w:tcPr>
          <w:p w14:paraId="30F686C8" w14:textId="2979D4B1" w:rsidR="00A07E22" w:rsidRPr="00F660DB" w:rsidRDefault="00A07E22" w:rsidP="007D26B3">
            <w:pPr>
              <w:spacing w:line="259" w:lineRule="auto"/>
              <w:jc w:val="center"/>
              <w:rPr>
                <w:rFonts w:ascii="Source Sans Pro" w:eastAsia="Source Sans Pro" w:hAnsi="Source Sans Pro" w:cs="Source Sans Pro"/>
                <w:color w:val="000000" w:themeColor="text1"/>
                <w:sz w:val="23"/>
                <w:szCs w:val="23"/>
              </w:rPr>
            </w:pPr>
            <w:r w:rsidRPr="00F660DB">
              <w:rPr>
                <w:rFonts w:ascii="Source Sans Pro" w:eastAsia="Source Sans Pro" w:hAnsi="Source Sans Pro" w:cs="Source Sans Pro"/>
                <w:color w:val="000000" w:themeColor="text1"/>
                <w:sz w:val="23"/>
                <w:szCs w:val="23"/>
              </w:rPr>
              <w:t>The department head writes a separate report considering the materials gathered, including the committee’s report</w:t>
            </w:r>
            <w:r w:rsidR="008A7A2E">
              <w:rPr>
                <w:rFonts w:ascii="Source Sans Pro" w:eastAsia="Source Sans Pro" w:hAnsi="Source Sans Pro" w:cs="Source Sans Pro"/>
                <w:color w:val="000000" w:themeColor="text1"/>
                <w:sz w:val="23"/>
                <w:szCs w:val="23"/>
              </w:rPr>
              <w:t xml:space="preserve"> and vote tally</w:t>
            </w:r>
            <w:r w:rsidRPr="00F660DB">
              <w:rPr>
                <w:rFonts w:ascii="Source Sans Pro" w:eastAsia="Source Sans Pro" w:hAnsi="Source Sans Pro" w:cs="Source Sans Pro"/>
                <w:color w:val="000000" w:themeColor="text1"/>
                <w:sz w:val="23"/>
                <w:szCs w:val="23"/>
              </w:rPr>
              <w:t>. The department head will meet with the candidate and provide a redacted copy of the head’s report</w:t>
            </w:r>
            <w:r w:rsidR="007D26B3">
              <w:rPr>
                <w:rFonts w:ascii="Source Sans Pro" w:eastAsia="Source Sans Pro" w:hAnsi="Source Sans Pro" w:cs="Source Sans Pro"/>
                <w:color w:val="000000" w:themeColor="text1"/>
                <w:sz w:val="23"/>
                <w:szCs w:val="23"/>
              </w:rPr>
              <w:t xml:space="preserve"> and committee report</w:t>
            </w:r>
            <w:r w:rsidRPr="00F660DB">
              <w:rPr>
                <w:rFonts w:ascii="Source Sans Pro" w:eastAsia="Source Sans Pro" w:hAnsi="Source Sans Pro" w:cs="Source Sans Pro"/>
                <w:color w:val="000000" w:themeColor="text1"/>
                <w:sz w:val="23"/>
                <w:szCs w:val="23"/>
              </w:rPr>
              <w:t>. The department head may recommend a development plan. The candidate will have 10 business days from the date of the receipt of the report to provide responsive material or information, which shall be included in the evaluation file.</w:t>
            </w:r>
          </w:p>
        </w:tc>
      </w:tr>
      <w:tr w:rsidR="00A07E22" w:rsidRPr="00A07E22" w14:paraId="6CDB2669" w14:textId="77777777" w:rsidTr="00A07E22">
        <w:trPr>
          <w:trHeight w:val="300"/>
        </w:trPr>
        <w:tc>
          <w:tcPr>
            <w:tcW w:w="5070" w:type="dxa"/>
            <w:tcBorders>
              <w:left w:val="single" w:sz="6" w:space="0" w:color="auto"/>
            </w:tcBorders>
            <w:tcMar>
              <w:left w:w="105" w:type="dxa"/>
              <w:right w:w="105" w:type="dxa"/>
            </w:tcMar>
          </w:tcPr>
          <w:p w14:paraId="3F0174B5" w14:textId="77777777" w:rsidR="00A07E22" w:rsidRPr="00F660DB" w:rsidRDefault="00A07E22" w:rsidP="00A07E22">
            <w:pPr>
              <w:spacing w:line="259" w:lineRule="auto"/>
              <w:jc w:val="center"/>
              <w:rPr>
                <w:rFonts w:ascii="Source Sans Pro" w:eastAsia="Source Sans Pro" w:hAnsi="Source Sans Pro" w:cs="Source Sans Pro"/>
                <w:color w:val="000000" w:themeColor="text1"/>
                <w:sz w:val="23"/>
                <w:szCs w:val="23"/>
              </w:rPr>
            </w:pPr>
            <w:r w:rsidRPr="00F660DB">
              <w:rPr>
                <w:rFonts w:ascii="Source Sans Pro" w:eastAsia="Source Sans Pro" w:hAnsi="Source Sans Pro" w:cs="Source Sans Pro"/>
                <w:color w:val="000000" w:themeColor="text1"/>
                <w:sz w:val="23"/>
                <w:szCs w:val="23"/>
              </w:rPr>
              <w:t>If formal review is required: begin the formal review process.</w:t>
            </w:r>
          </w:p>
          <w:p w14:paraId="35E72A7B" w14:textId="77777777" w:rsidR="00A07E22" w:rsidRPr="00F660DB" w:rsidRDefault="00A07E22" w:rsidP="00A07E22">
            <w:pPr>
              <w:spacing w:line="259" w:lineRule="auto"/>
              <w:jc w:val="center"/>
              <w:rPr>
                <w:rFonts w:ascii="Source Sans Pro" w:eastAsia="Source Sans Pro" w:hAnsi="Source Sans Pro" w:cs="Source Sans Pro"/>
                <w:color w:val="000000" w:themeColor="text1"/>
                <w:sz w:val="23"/>
                <w:szCs w:val="23"/>
              </w:rPr>
            </w:pPr>
          </w:p>
        </w:tc>
        <w:tc>
          <w:tcPr>
            <w:tcW w:w="5445" w:type="dxa"/>
            <w:tcBorders>
              <w:right w:val="single" w:sz="6" w:space="0" w:color="auto"/>
            </w:tcBorders>
            <w:tcMar>
              <w:left w:w="105" w:type="dxa"/>
              <w:right w:w="105" w:type="dxa"/>
            </w:tcMar>
          </w:tcPr>
          <w:p w14:paraId="00558BA7" w14:textId="77777777" w:rsidR="00A07E22" w:rsidRPr="00F660DB" w:rsidRDefault="00A07E22" w:rsidP="00A07E22">
            <w:pPr>
              <w:spacing w:line="259" w:lineRule="auto"/>
              <w:jc w:val="center"/>
              <w:rPr>
                <w:rFonts w:ascii="Source Sans Pro" w:eastAsia="Source Sans Pro" w:hAnsi="Source Sans Pro" w:cs="Source Sans Pro"/>
                <w:color w:val="000000" w:themeColor="text1"/>
                <w:sz w:val="23"/>
                <w:szCs w:val="23"/>
              </w:rPr>
            </w:pPr>
            <w:r w:rsidRPr="00F660DB">
              <w:rPr>
                <w:rFonts w:ascii="Source Sans Pro" w:eastAsia="Source Sans Pro" w:hAnsi="Source Sans Pro" w:cs="Source Sans Pro"/>
                <w:color w:val="000000" w:themeColor="text1"/>
                <w:sz w:val="23"/>
                <w:szCs w:val="23"/>
              </w:rPr>
              <w:t xml:space="preserve">File goes to the dean. Dean may also recommend a development plan. The file, including dean’s report, is due to </w:t>
            </w:r>
            <w:proofErr w:type="spellStart"/>
            <w:r w:rsidRPr="00F660DB">
              <w:rPr>
                <w:rFonts w:ascii="Source Sans Pro" w:eastAsia="Source Sans Pro" w:hAnsi="Source Sans Pro" w:cs="Source Sans Pro"/>
                <w:color w:val="000000" w:themeColor="text1"/>
                <w:sz w:val="23"/>
                <w:szCs w:val="23"/>
              </w:rPr>
              <w:t>OtP</w:t>
            </w:r>
            <w:proofErr w:type="spellEnd"/>
            <w:r w:rsidRPr="00F660DB">
              <w:rPr>
                <w:rFonts w:ascii="Source Sans Pro" w:eastAsia="Source Sans Pro" w:hAnsi="Source Sans Pro" w:cs="Source Sans Pro"/>
                <w:color w:val="000000" w:themeColor="text1"/>
                <w:sz w:val="23"/>
                <w:szCs w:val="23"/>
              </w:rPr>
              <w:t xml:space="preserve"> on </w:t>
            </w:r>
            <w:r w:rsidRPr="00F660DB">
              <w:rPr>
                <w:rFonts w:ascii="Source Sans Pro" w:eastAsia="Source Sans Pro" w:hAnsi="Source Sans Pro" w:cs="Source Sans Pro"/>
                <w:b/>
                <w:bCs/>
                <w:color w:val="2F5496" w:themeColor="accent1" w:themeShade="BF"/>
                <w:sz w:val="23"/>
                <w:szCs w:val="23"/>
              </w:rPr>
              <w:t>May 5</w:t>
            </w:r>
            <w:r w:rsidRPr="00F660DB">
              <w:rPr>
                <w:rFonts w:ascii="Source Sans Pro" w:eastAsia="Source Sans Pro" w:hAnsi="Source Sans Pro" w:cs="Source Sans Pro"/>
                <w:color w:val="2F5496" w:themeColor="accent1" w:themeShade="BF"/>
                <w:sz w:val="23"/>
                <w:szCs w:val="23"/>
              </w:rPr>
              <w:t xml:space="preserve">. </w:t>
            </w:r>
          </w:p>
        </w:tc>
      </w:tr>
      <w:tr w:rsidR="00A07E22" w:rsidRPr="00A07E22" w14:paraId="1E28F1AA" w14:textId="77777777" w:rsidTr="00A07E22">
        <w:trPr>
          <w:trHeight w:val="300"/>
        </w:trPr>
        <w:tc>
          <w:tcPr>
            <w:tcW w:w="5070" w:type="dxa"/>
            <w:vMerge w:val="restart"/>
            <w:tcBorders>
              <w:left w:val="single" w:sz="6" w:space="0" w:color="000000" w:themeColor="text1"/>
              <w:bottom w:val="single" w:sz="6" w:space="0" w:color="000000" w:themeColor="text1"/>
            </w:tcBorders>
            <w:tcMar>
              <w:left w:w="105" w:type="dxa"/>
              <w:right w:w="105" w:type="dxa"/>
            </w:tcMar>
          </w:tcPr>
          <w:p w14:paraId="2E5D7273" w14:textId="77777777" w:rsidR="00A07E22" w:rsidRPr="00F660DB" w:rsidRDefault="00A07E22" w:rsidP="00A07E22">
            <w:pPr>
              <w:spacing w:line="259" w:lineRule="auto"/>
              <w:rPr>
                <w:rFonts w:ascii="Source Sans Pro" w:eastAsia="Source Sans Pro" w:hAnsi="Source Sans Pro" w:cs="Source Sans Pro"/>
                <w:color w:val="000000" w:themeColor="text1"/>
                <w:sz w:val="23"/>
                <w:szCs w:val="23"/>
              </w:rPr>
            </w:pPr>
            <w:r w:rsidRPr="00F660DB">
              <w:rPr>
                <w:rFonts w:ascii="Source Sans Pro" w:eastAsia="Source Sans Pro" w:hAnsi="Source Sans Pro" w:cs="Source Sans Pro"/>
                <w:b/>
                <w:bCs/>
                <w:color w:val="2F5496" w:themeColor="accent1" w:themeShade="BF"/>
                <w:sz w:val="23"/>
                <w:szCs w:val="23"/>
              </w:rPr>
              <w:t>February 28:</w:t>
            </w:r>
            <w:r w:rsidRPr="00F660DB">
              <w:rPr>
                <w:rFonts w:ascii="Source Sans Pro" w:eastAsia="Source Sans Pro" w:hAnsi="Source Sans Pro" w:cs="Source Sans Pro"/>
                <w:color w:val="000000" w:themeColor="text1"/>
                <w:sz w:val="23"/>
                <w:szCs w:val="23"/>
              </w:rPr>
              <w:t xml:space="preserve"> </w:t>
            </w:r>
            <w:proofErr w:type="spellStart"/>
            <w:r w:rsidRPr="00F660DB">
              <w:rPr>
                <w:rFonts w:ascii="Source Sans Pro" w:eastAsia="Source Sans Pro" w:hAnsi="Source Sans Pro" w:cs="Source Sans Pro"/>
                <w:color w:val="000000" w:themeColor="text1"/>
                <w:sz w:val="23"/>
                <w:szCs w:val="23"/>
              </w:rPr>
              <w:t>OtP</w:t>
            </w:r>
            <w:proofErr w:type="spellEnd"/>
            <w:r w:rsidRPr="00F660DB">
              <w:rPr>
                <w:rFonts w:ascii="Source Sans Pro" w:eastAsia="Source Sans Pro" w:hAnsi="Source Sans Pro" w:cs="Source Sans Pro"/>
                <w:color w:val="000000" w:themeColor="text1"/>
                <w:sz w:val="23"/>
                <w:szCs w:val="23"/>
              </w:rPr>
              <w:t xml:space="preserve"> will notify successful informal review candidates of the review decision.</w:t>
            </w:r>
            <w:r w:rsidRPr="00F660DB">
              <w:rPr>
                <w:rFonts w:ascii="Source Sans Pro" w:eastAsia="Source Sans Pro" w:hAnsi="Source Sans Pro" w:cs="Source Sans Pro"/>
                <w:color w:val="2F5496" w:themeColor="accent1" w:themeShade="BF"/>
                <w:sz w:val="23"/>
                <w:szCs w:val="23"/>
              </w:rPr>
              <w:t xml:space="preserve"> </w:t>
            </w:r>
            <w:r w:rsidRPr="00F660DB">
              <w:rPr>
                <w:rFonts w:ascii="Source Sans Pro" w:eastAsia="Source Sans Pro" w:hAnsi="Source Sans Pro" w:cs="Source Sans Pro"/>
                <w:color w:val="000000" w:themeColor="text1"/>
                <w:sz w:val="23"/>
                <w:szCs w:val="23"/>
              </w:rPr>
              <w:t xml:space="preserve">The notification letter is to be placed in the candidate’s departmental or college personnel file.  </w:t>
            </w:r>
          </w:p>
          <w:p w14:paraId="7A731CCC" w14:textId="77777777" w:rsidR="00A07E22" w:rsidRDefault="00A07E22" w:rsidP="00A07E22">
            <w:pPr>
              <w:spacing w:line="259" w:lineRule="auto"/>
              <w:jc w:val="center"/>
              <w:rPr>
                <w:rFonts w:ascii="Source Sans Pro" w:eastAsia="Source Sans Pro" w:hAnsi="Source Sans Pro" w:cs="Source Sans Pro"/>
                <w:color w:val="000000" w:themeColor="text1"/>
                <w:sz w:val="23"/>
                <w:szCs w:val="23"/>
              </w:rPr>
            </w:pPr>
          </w:p>
          <w:p w14:paraId="731F11FB" w14:textId="77777777" w:rsidR="008A7A2E" w:rsidRPr="008A7A2E" w:rsidRDefault="008A7A2E" w:rsidP="008A7A2E">
            <w:pPr>
              <w:rPr>
                <w:rFonts w:ascii="Source Sans Pro" w:eastAsia="Source Sans Pro" w:hAnsi="Source Sans Pro" w:cs="Source Sans Pro"/>
                <w:sz w:val="23"/>
                <w:szCs w:val="23"/>
              </w:rPr>
            </w:pPr>
          </w:p>
          <w:p w14:paraId="7EFDC978" w14:textId="77777777" w:rsidR="008A7A2E" w:rsidRPr="008A7A2E" w:rsidRDefault="008A7A2E" w:rsidP="008A7A2E">
            <w:pPr>
              <w:rPr>
                <w:rFonts w:ascii="Source Sans Pro" w:eastAsia="Source Sans Pro" w:hAnsi="Source Sans Pro" w:cs="Source Sans Pro"/>
                <w:sz w:val="23"/>
                <w:szCs w:val="23"/>
              </w:rPr>
            </w:pPr>
          </w:p>
          <w:p w14:paraId="51FC61A5" w14:textId="77777777" w:rsidR="008A7A2E" w:rsidRPr="008A7A2E" w:rsidRDefault="008A7A2E" w:rsidP="008A7A2E">
            <w:pPr>
              <w:rPr>
                <w:rFonts w:ascii="Source Sans Pro" w:eastAsia="Source Sans Pro" w:hAnsi="Source Sans Pro" w:cs="Source Sans Pro"/>
                <w:sz w:val="23"/>
                <w:szCs w:val="23"/>
              </w:rPr>
            </w:pPr>
          </w:p>
        </w:tc>
        <w:tc>
          <w:tcPr>
            <w:tcW w:w="5445" w:type="dxa"/>
            <w:tcBorders>
              <w:bottom w:val="single" w:sz="6" w:space="0" w:color="auto"/>
              <w:right w:val="single" w:sz="6" w:space="0" w:color="auto"/>
            </w:tcBorders>
            <w:tcMar>
              <w:left w:w="105" w:type="dxa"/>
              <w:right w:w="105" w:type="dxa"/>
            </w:tcMar>
          </w:tcPr>
          <w:p w14:paraId="5A3AD5CD" w14:textId="77777777" w:rsidR="00A07E22" w:rsidRPr="00F660DB" w:rsidRDefault="00A07E22" w:rsidP="00A07E22">
            <w:pPr>
              <w:spacing w:line="259" w:lineRule="auto"/>
              <w:jc w:val="center"/>
              <w:rPr>
                <w:rFonts w:ascii="Source Sans Pro" w:eastAsia="Source Sans Pro" w:hAnsi="Source Sans Pro" w:cs="Source Sans Pro"/>
                <w:color w:val="000000" w:themeColor="text1"/>
                <w:sz w:val="23"/>
                <w:szCs w:val="23"/>
              </w:rPr>
            </w:pPr>
            <w:r w:rsidRPr="00F660DB">
              <w:rPr>
                <w:rFonts w:ascii="Source Sans Pro" w:eastAsia="Source Sans Pro" w:hAnsi="Source Sans Pro" w:cs="Source Sans Pro"/>
                <w:color w:val="000000" w:themeColor="text1"/>
                <w:sz w:val="23"/>
                <w:szCs w:val="23"/>
              </w:rPr>
              <w:t>Provost reviews the file.</w:t>
            </w:r>
          </w:p>
        </w:tc>
      </w:tr>
      <w:tr w:rsidR="00A07E22" w:rsidRPr="00A07E22" w14:paraId="39D5A0E5" w14:textId="77777777" w:rsidTr="00A07E22">
        <w:trPr>
          <w:trHeight w:val="300"/>
        </w:trPr>
        <w:tc>
          <w:tcPr>
            <w:tcW w:w="5070" w:type="dxa"/>
            <w:vMerge/>
            <w:tcMar>
              <w:left w:w="105" w:type="dxa"/>
              <w:right w:w="105" w:type="dxa"/>
            </w:tcMar>
          </w:tcPr>
          <w:p w14:paraId="23CBD895" w14:textId="77777777" w:rsidR="00A07E22" w:rsidRPr="00F660DB" w:rsidRDefault="00A07E22" w:rsidP="00A07E22">
            <w:pPr>
              <w:rPr>
                <w:rFonts w:ascii="Source Sans Pro" w:hAnsi="Source Sans Pro"/>
                <w:sz w:val="23"/>
                <w:szCs w:val="23"/>
              </w:rPr>
            </w:pPr>
          </w:p>
        </w:tc>
        <w:tc>
          <w:tcPr>
            <w:tcW w:w="5445" w:type="dxa"/>
            <w:tcBorders>
              <w:bottom w:val="single" w:sz="6" w:space="0" w:color="auto"/>
              <w:right w:val="single" w:sz="6" w:space="0" w:color="auto"/>
            </w:tcBorders>
            <w:tcMar>
              <w:left w:w="105" w:type="dxa"/>
              <w:right w:w="105" w:type="dxa"/>
            </w:tcMar>
          </w:tcPr>
          <w:p w14:paraId="5E408D17" w14:textId="4BEFFADD" w:rsidR="00A07E22" w:rsidRPr="00F660DB" w:rsidRDefault="00A07E22" w:rsidP="00A07E22">
            <w:pPr>
              <w:spacing w:line="259" w:lineRule="auto"/>
              <w:rPr>
                <w:rFonts w:ascii="Source Sans Pro" w:eastAsia="Source Sans Pro" w:hAnsi="Source Sans Pro" w:cs="Source Sans Pro"/>
                <w:color w:val="000000" w:themeColor="text1"/>
                <w:sz w:val="23"/>
                <w:szCs w:val="23"/>
              </w:rPr>
            </w:pPr>
            <w:r w:rsidRPr="00F660DB">
              <w:rPr>
                <w:rFonts w:ascii="Source Sans Pro" w:eastAsia="Source Sans Pro" w:hAnsi="Source Sans Pro" w:cs="Source Sans Pro"/>
                <w:color w:val="000000" w:themeColor="text1"/>
                <w:sz w:val="23"/>
                <w:szCs w:val="23"/>
              </w:rPr>
              <w:t xml:space="preserve">The </w:t>
            </w:r>
            <w:proofErr w:type="spellStart"/>
            <w:r w:rsidRPr="00F660DB">
              <w:rPr>
                <w:rFonts w:ascii="Source Sans Pro" w:eastAsia="Source Sans Pro" w:hAnsi="Source Sans Pro" w:cs="Source Sans Pro"/>
                <w:color w:val="000000" w:themeColor="text1"/>
                <w:sz w:val="23"/>
                <w:szCs w:val="23"/>
              </w:rPr>
              <w:t>OtP</w:t>
            </w:r>
            <w:proofErr w:type="spellEnd"/>
            <w:r w:rsidRPr="00F660DB">
              <w:rPr>
                <w:rFonts w:ascii="Source Sans Pro" w:eastAsia="Source Sans Pro" w:hAnsi="Source Sans Pro" w:cs="Source Sans Pro"/>
                <w:color w:val="000000" w:themeColor="text1"/>
                <w:sz w:val="23"/>
                <w:szCs w:val="23"/>
              </w:rPr>
              <w:t xml:space="preserve"> will notify the candidate of the </w:t>
            </w:r>
            <w:proofErr w:type="gramStart"/>
            <w:r w:rsidRPr="00F660DB">
              <w:rPr>
                <w:rFonts w:ascii="Source Sans Pro" w:eastAsia="Source Sans Pro" w:hAnsi="Source Sans Pro" w:cs="Source Sans Pro"/>
                <w:color w:val="000000" w:themeColor="text1"/>
                <w:sz w:val="23"/>
                <w:szCs w:val="23"/>
              </w:rPr>
              <w:t>Provost’s</w:t>
            </w:r>
            <w:proofErr w:type="gramEnd"/>
            <w:r w:rsidRPr="00F660DB">
              <w:rPr>
                <w:rFonts w:ascii="Source Sans Pro" w:eastAsia="Source Sans Pro" w:hAnsi="Source Sans Pro" w:cs="Source Sans Pro"/>
                <w:color w:val="000000" w:themeColor="text1"/>
                <w:sz w:val="23"/>
                <w:szCs w:val="23"/>
              </w:rPr>
              <w:t xml:space="preserve"> formal review decision by </w:t>
            </w:r>
            <w:r w:rsidRPr="00F660DB">
              <w:rPr>
                <w:rFonts w:ascii="Source Sans Pro" w:eastAsia="Source Sans Pro" w:hAnsi="Source Sans Pro" w:cs="Source Sans Pro"/>
                <w:b/>
                <w:bCs/>
                <w:color w:val="2F5496" w:themeColor="accent1" w:themeShade="BF"/>
                <w:sz w:val="23"/>
                <w:szCs w:val="23"/>
              </w:rPr>
              <w:t>July 15.</w:t>
            </w:r>
            <w:r w:rsidRPr="00F660DB">
              <w:rPr>
                <w:rFonts w:ascii="Source Sans Pro" w:eastAsia="Source Sans Pro" w:hAnsi="Source Sans Pro" w:cs="Source Sans Pro"/>
                <w:color w:val="2F5496" w:themeColor="accent1" w:themeShade="BF"/>
                <w:sz w:val="23"/>
                <w:szCs w:val="23"/>
              </w:rPr>
              <w:t xml:space="preserve"> </w:t>
            </w:r>
            <w:r w:rsidRPr="00F660DB">
              <w:rPr>
                <w:rFonts w:ascii="Source Sans Pro" w:eastAsia="Source Sans Pro" w:hAnsi="Source Sans Pro" w:cs="Source Sans Pro"/>
                <w:color w:val="000000" w:themeColor="text1"/>
                <w:sz w:val="23"/>
                <w:szCs w:val="23"/>
              </w:rPr>
              <w:t xml:space="preserve">This notification letter is sent to the School/College to be recorded in the candidate’s departmental or college personnel file(s).  If the notification letter indicates that a development plan is needed, the candidate will work with the dean and department head to craft the development plan. 2023-24 DP’s due to </w:t>
            </w:r>
            <w:proofErr w:type="spellStart"/>
            <w:r w:rsidRPr="00F660DB">
              <w:rPr>
                <w:rFonts w:ascii="Source Sans Pro" w:eastAsia="Source Sans Pro" w:hAnsi="Source Sans Pro" w:cs="Source Sans Pro"/>
                <w:color w:val="000000" w:themeColor="text1"/>
                <w:sz w:val="23"/>
                <w:szCs w:val="23"/>
              </w:rPr>
              <w:t>OtP</w:t>
            </w:r>
            <w:proofErr w:type="spellEnd"/>
            <w:r w:rsidRPr="00F660DB">
              <w:rPr>
                <w:rFonts w:ascii="Source Sans Pro" w:eastAsia="Source Sans Pro" w:hAnsi="Source Sans Pro" w:cs="Source Sans Pro"/>
                <w:color w:val="000000" w:themeColor="text1"/>
                <w:sz w:val="23"/>
                <w:szCs w:val="23"/>
              </w:rPr>
              <w:t xml:space="preserve"> on </w:t>
            </w:r>
            <w:r w:rsidRPr="00F660DB">
              <w:rPr>
                <w:rFonts w:ascii="Source Sans Pro" w:eastAsia="Source Sans Pro" w:hAnsi="Source Sans Pro" w:cs="Source Sans Pro"/>
                <w:b/>
                <w:bCs/>
                <w:color w:val="2F5496" w:themeColor="accent1" w:themeShade="BF"/>
                <w:sz w:val="23"/>
                <w:szCs w:val="23"/>
              </w:rPr>
              <w:t>Oc</w:t>
            </w:r>
            <w:r w:rsidR="007D26B3">
              <w:rPr>
                <w:rFonts w:ascii="Source Sans Pro" w:eastAsia="Source Sans Pro" w:hAnsi="Source Sans Pro" w:cs="Source Sans Pro"/>
                <w:b/>
                <w:bCs/>
                <w:color w:val="2F5496" w:themeColor="accent1" w:themeShade="BF"/>
                <w:sz w:val="23"/>
                <w:szCs w:val="23"/>
              </w:rPr>
              <w:t>t.</w:t>
            </w:r>
            <w:r w:rsidRPr="00F660DB">
              <w:rPr>
                <w:rFonts w:ascii="Source Sans Pro" w:eastAsia="Source Sans Pro" w:hAnsi="Source Sans Pro" w:cs="Source Sans Pro"/>
                <w:b/>
                <w:bCs/>
                <w:color w:val="2F5496" w:themeColor="accent1" w:themeShade="BF"/>
                <w:sz w:val="23"/>
                <w:szCs w:val="23"/>
              </w:rPr>
              <w:t xml:space="preserve"> 18</w:t>
            </w:r>
            <w:r w:rsidRPr="00F660DB">
              <w:rPr>
                <w:rFonts w:ascii="Source Sans Pro" w:eastAsia="Source Sans Pro" w:hAnsi="Source Sans Pro" w:cs="Source Sans Pro"/>
                <w:color w:val="000000" w:themeColor="text1"/>
                <w:sz w:val="23"/>
                <w:szCs w:val="23"/>
              </w:rPr>
              <w:t xml:space="preserve">. 2024-25 DPs due to </w:t>
            </w:r>
            <w:proofErr w:type="spellStart"/>
            <w:r w:rsidRPr="00F660DB">
              <w:rPr>
                <w:rFonts w:ascii="Source Sans Pro" w:eastAsia="Source Sans Pro" w:hAnsi="Source Sans Pro" w:cs="Source Sans Pro"/>
                <w:color w:val="000000" w:themeColor="text1"/>
                <w:sz w:val="23"/>
                <w:szCs w:val="23"/>
              </w:rPr>
              <w:t>OtP</w:t>
            </w:r>
            <w:proofErr w:type="spellEnd"/>
            <w:r w:rsidRPr="00F660DB">
              <w:rPr>
                <w:rFonts w:ascii="Source Sans Pro" w:eastAsia="Source Sans Pro" w:hAnsi="Source Sans Pro" w:cs="Source Sans Pro"/>
                <w:color w:val="000000" w:themeColor="text1"/>
                <w:sz w:val="23"/>
                <w:szCs w:val="23"/>
              </w:rPr>
              <w:t xml:space="preserve"> on </w:t>
            </w:r>
            <w:r w:rsidRPr="00F660DB">
              <w:rPr>
                <w:rFonts w:ascii="Source Sans Pro" w:eastAsia="Source Sans Pro" w:hAnsi="Source Sans Pro" w:cs="Source Sans Pro"/>
                <w:b/>
                <w:bCs/>
                <w:color w:val="2F5496" w:themeColor="accent1" w:themeShade="BF"/>
                <w:sz w:val="23"/>
                <w:szCs w:val="23"/>
              </w:rPr>
              <w:t>Oct</w:t>
            </w:r>
            <w:r w:rsidR="007D26B3">
              <w:rPr>
                <w:rFonts w:ascii="Source Sans Pro" w:eastAsia="Source Sans Pro" w:hAnsi="Source Sans Pro" w:cs="Source Sans Pro"/>
                <w:b/>
                <w:bCs/>
                <w:color w:val="2F5496" w:themeColor="accent1" w:themeShade="BF"/>
                <w:sz w:val="23"/>
                <w:szCs w:val="23"/>
              </w:rPr>
              <w:t xml:space="preserve">. </w:t>
            </w:r>
            <w:r w:rsidRPr="00F660DB">
              <w:rPr>
                <w:rFonts w:ascii="Source Sans Pro" w:eastAsia="Source Sans Pro" w:hAnsi="Source Sans Pro" w:cs="Source Sans Pro"/>
                <w:b/>
                <w:bCs/>
                <w:color w:val="2F5496" w:themeColor="accent1" w:themeShade="BF"/>
                <w:sz w:val="23"/>
                <w:szCs w:val="23"/>
              </w:rPr>
              <w:t>20</w:t>
            </w:r>
            <w:r w:rsidR="007D26B3">
              <w:rPr>
                <w:rFonts w:ascii="Source Sans Pro" w:eastAsia="Source Sans Pro" w:hAnsi="Source Sans Pro" w:cs="Source Sans Pro"/>
                <w:b/>
                <w:bCs/>
                <w:color w:val="2F5496" w:themeColor="accent1" w:themeShade="BF"/>
                <w:sz w:val="23"/>
                <w:szCs w:val="23"/>
              </w:rPr>
              <w:t xml:space="preserve"> 2025</w:t>
            </w:r>
            <w:r w:rsidRPr="00F660DB">
              <w:rPr>
                <w:rFonts w:ascii="Source Sans Pro" w:eastAsia="Source Sans Pro" w:hAnsi="Source Sans Pro" w:cs="Source Sans Pro"/>
                <w:color w:val="000000" w:themeColor="text1"/>
                <w:sz w:val="23"/>
                <w:szCs w:val="23"/>
              </w:rPr>
              <w:t xml:space="preserve">. </w:t>
            </w:r>
          </w:p>
          <w:p w14:paraId="6D7197B3" w14:textId="77777777" w:rsidR="00A07E22" w:rsidRPr="00F660DB" w:rsidRDefault="00A07E22" w:rsidP="00A07E22">
            <w:pPr>
              <w:spacing w:line="259" w:lineRule="auto"/>
              <w:jc w:val="center"/>
              <w:rPr>
                <w:rFonts w:ascii="Source Sans Pro" w:eastAsia="Source Sans Pro" w:hAnsi="Source Sans Pro" w:cs="Source Sans Pro"/>
                <w:color w:val="000000" w:themeColor="text1"/>
                <w:sz w:val="23"/>
                <w:szCs w:val="23"/>
              </w:rPr>
            </w:pPr>
          </w:p>
        </w:tc>
      </w:tr>
    </w:tbl>
    <w:p w14:paraId="2C078E63" w14:textId="1688DC8B" w:rsidR="002473BC" w:rsidRPr="00131647" w:rsidRDefault="007705A2" w:rsidP="00A403F2">
      <w:pPr>
        <w:tabs>
          <w:tab w:val="left" w:pos="1470"/>
        </w:tabs>
        <w:rPr>
          <w:rFonts w:ascii="Source Sans Pro" w:eastAsia="Source Sans Pro" w:hAnsi="Source Sans Pro" w:cs="Source Sans Pro"/>
        </w:rPr>
      </w:pPr>
      <w:r>
        <w:rPr>
          <w:rFonts w:ascii="Source Sans Pro" w:eastAsia="Source Sans Pro" w:hAnsi="Source Sans Pro" w:cs="Source Sans Pro"/>
        </w:rPr>
        <w:lastRenderedPageBreak/>
        <w:tab/>
      </w:r>
    </w:p>
    <w:sectPr w:rsidR="002473BC" w:rsidRPr="00131647" w:rsidSect="00F97D55">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6D6F9" w14:textId="77777777" w:rsidR="00073EAA" w:rsidRDefault="00073EAA" w:rsidP="00FA1CC3">
      <w:pPr>
        <w:spacing w:after="0" w:line="240" w:lineRule="auto"/>
      </w:pPr>
      <w:r>
        <w:separator/>
      </w:r>
    </w:p>
  </w:endnote>
  <w:endnote w:type="continuationSeparator" w:id="0">
    <w:p w14:paraId="33CAAC07" w14:textId="77777777" w:rsidR="00073EAA" w:rsidRDefault="00073EAA" w:rsidP="00FA1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E5AA2" w14:textId="3F9D7B0B" w:rsidR="00A07E22" w:rsidRPr="00F660DB" w:rsidRDefault="00A07E22">
    <w:pPr>
      <w:pStyle w:val="Footer"/>
      <w:rPr>
        <w:rFonts w:ascii="Source Sans Pro" w:hAnsi="Source Sans Pro"/>
        <w:sz w:val="24"/>
        <w:szCs w:val="24"/>
      </w:rPr>
    </w:pPr>
    <w:r>
      <w:rPr>
        <w:rFonts w:ascii="Source Sans Pro" w:hAnsi="Source Sans Pro"/>
        <w:sz w:val="24"/>
        <w:szCs w:val="24"/>
      </w:rPr>
      <w:t xml:space="preserve">Updated </w:t>
    </w:r>
    <w:r w:rsidR="008A7A2E">
      <w:rPr>
        <w:rFonts w:ascii="Source Sans Pro" w:hAnsi="Source Sans Pro"/>
        <w:sz w:val="24"/>
        <w:szCs w:val="24"/>
      </w:rPr>
      <w:t>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DCC7C" w14:textId="77777777" w:rsidR="00073EAA" w:rsidRDefault="00073EAA" w:rsidP="00FA1CC3">
      <w:pPr>
        <w:spacing w:after="0" w:line="240" w:lineRule="auto"/>
      </w:pPr>
      <w:r>
        <w:separator/>
      </w:r>
    </w:p>
  </w:footnote>
  <w:footnote w:type="continuationSeparator" w:id="0">
    <w:p w14:paraId="4660C44B" w14:textId="77777777" w:rsidR="00073EAA" w:rsidRDefault="00073EAA" w:rsidP="00FA1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6C10E" w14:textId="65172B79" w:rsidR="00A07E22" w:rsidRPr="00A07E22" w:rsidRDefault="00A07E22" w:rsidP="00A07E22">
    <w:pPr>
      <w:jc w:val="center"/>
      <w:rPr>
        <w:rFonts w:ascii="Source Sans Pro" w:eastAsia="Source Sans Pro" w:hAnsi="Source Sans Pro" w:cs="Source Sans Pro"/>
        <w:b/>
        <w:bCs/>
        <w:sz w:val="24"/>
        <w:szCs w:val="24"/>
      </w:rPr>
    </w:pPr>
    <w:r w:rsidRPr="00A07E22">
      <w:rPr>
        <w:rStyle w:val="normaltextrun"/>
        <w:rFonts w:ascii="Source Sans Pro" w:eastAsia="Source Sans Pro" w:hAnsi="Source Sans Pro" w:cs="Source Sans Pro"/>
        <w:b/>
        <w:bCs/>
        <w:color w:val="000000" w:themeColor="text1"/>
      </w:rPr>
      <w:t>Third-Year Post-Tenure Review (3PTR)</w:t>
    </w:r>
    <w:r w:rsidRPr="00A07E22">
      <w:rPr>
        <w:rFonts w:ascii="Source Sans Pro" w:eastAsia="Source Sans Pro" w:hAnsi="Source Sans Pro" w:cs="Source Sans Pro"/>
        <w:b/>
        <w:bCs/>
        <w:sz w:val="24"/>
        <w:szCs w:val="24"/>
      </w:rPr>
      <w:t xml:space="preserve"> Timeline and File Review Process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0051EF"/>
    <w:rsid w:val="000029F8"/>
    <w:rsid w:val="00015903"/>
    <w:rsid w:val="0004F910"/>
    <w:rsid w:val="00073EAA"/>
    <w:rsid w:val="00131647"/>
    <w:rsid w:val="001F18D7"/>
    <w:rsid w:val="002473BC"/>
    <w:rsid w:val="00293247"/>
    <w:rsid w:val="002D0986"/>
    <w:rsid w:val="003819F0"/>
    <w:rsid w:val="003C5FA0"/>
    <w:rsid w:val="00465464"/>
    <w:rsid w:val="004E0D2B"/>
    <w:rsid w:val="00540D35"/>
    <w:rsid w:val="005F2EE7"/>
    <w:rsid w:val="00647BED"/>
    <w:rsid w:val="006F0A8C"/>
    <w:rsid w:val="00767BBB"/>
    <w:rsid w:val="007705A2"/>
    <w:rsid w:val="007D26B3"/>
    <w:rsid w:val="008A7A2E"/>
    <w:rsid w:val="00A07E22"/>
    <w:rsid w:val="00A403F2"/>
    <w:rsid w:val="00B30572"/>
    <w:rsid w:val="00C63CCB"/>
    <w:rsid w:val="00CB02A7"/>
    <w:rsid w:val="00D22CE9"/>
    <w:rsid w:val="00D43E6D"/>
    <w:rsid w:val="00E33D2A"/>
    <w:rsid w:val="00E3D3EB"/>
    <w:rsid w:val="00F660DB"/>
    <w:rsid w:val="00F97D55"/>
    <w:rsid w:val="00FA1CC3"/>
    <w:rsid w:val="01C88F53"/>
    <w:rsid w:val="0209757A"/>
    <w:rsid w:val="023DFB19"/>
    <w:rsid w:val="02639607"/>
    <w:rsid w:val="03773A4B"/>
    <w:rsid w:val="051E75EA"/>
    <w:rsid w:val="05FF1676"/>
    <w:rsid w:val="060DE275"/>
    <w:rsid w:val="0794B3AF"/>
    <w:rsid w:val="07A0492C"/>
    <w:rsid w:val="08D5395C"/>
    <w:rsid w:val="0B3743EF"/>
    <w:rsid w:val="0BCFE30F"/>
    <w:rsid w:val="0BDBEF3B"/>
    <w:rsid w:val="0E2932CF"/>
    <w:rsid w:val="1182D581"/>
    <w:rsid w:val="1192E918"/>
    <w:rsid w:val="1367F652"/>
    <w:rsid w:val="1716552F"/>
    <w:rsid w:val="18DAA6C2"/>
    <w:rsid w:val="19F1B288"/>
    <w:rsid w:val="1AFE6179"/>
    <w:rsid w:val="1D979ED8"/>
    <w:rsid w:val="1DD2BC11"/>
    <w:rsid w:val="2082FEC0"/>
    <w:rsid w:val="2104B094"/>
    <w:rsid w:val="24219110"/>
    <w:rsid w:val="242E26B6"/>
    <w:rsid w:val="24900928"/>
    <w:rsid w:val="24B79D36"/>
    <w:rsid w:val="2599D67A"/>
    <w:rsid w:val="260759B2"/>
    <w:rsid w:val="2914BCC0"/>
    <w:rsid w:val="2A404E0A"/>
    <w:rsid w:val="2AD468EE"/>
    <w:rsid w:val="2B57DCAE"/>
    <w:rsid w:val="2CF3AD0F"/>
    <w:rsid w:val="2D61B8A5"/>
    <w:rsid w:val="3190CBD5"/>
    <w:rsid w:val="35F281E7"/>
    <w:rsid w:val="37947D4B"/>
    <w:rsid w:val="379888FA"/>
    <w:rsid w:val="38146CBB"/>
    <w:rsid w:val="3BCBB274"/>
    <w:rsid w:val="3D7FE9A5"/>
    <w:rsid w:val="3DD89817"/>
    <w:rsid w:val="3E4923C3"/>
    <w:rsid w:val="3F2E7800"/>
    <w:rsid w:val="3FCBB3EA"/>
    <w:rsid w:val="400051EF"/>
    <w:rsid w:val="41DD6F60"/>
    <w:rsid w:val="4245A074"/>
    <w:rsid w:val="42E2268A"/>
    <w:rsid w:val="45A8523A"/>
    <w:rsid w:val="46962715"/>
    <w:rsid w:val="47112DE7"/>
    <w:rsid w:val="4715E1EF"/>
    <w:rsid w:val="496E85BC"/>
    <w:rsid w:val="49A5BF5D"/>
    <w:rsid w:val="49FB45E3"/>
    <w:rsid w:val="4B1DF0D3"/>
    <w:rsid w:val="4D0F6E42"/>
    <w:rsid w:val="4E6B3521"/>
    <w:rsid w:val="4EA8F6F0"/>
    <w:rsid w:val="5163647B"/>
    <w:rsid w:val="51A67983"/>
    <w:rsid w:val="51A74697"/>
    <w:rsid w:val="52F90EB0"/>
    <w:rsid w:val="5316CE54"/>
    <w:rsid w:val="57740548"/>
    <w:rsid w:val="57EE2323"/>
    <w:rsid w:val="5862DA3D"/>
    <w:rsid w:val="5BB1FD5B"/>
    <w:rsid w:val="5C894C89"/>
    <w:rsid w:val="5EBC4884"/>
    <w:rsid w:val="607E8CC6"/>
    <w:rsid w:val="62C6A92C"/>
    <w:rsid w:val="67BD5A40"/>
    <w:rsid w:val="67D83CAE"/>
    <w:rsid w:val="67F6B3A9"/>
    <w:rsid w:val="694220DB"/>
    <w:rsid w:val="6A5278FD"/>
    <w:rsid w:val="6AD77EE6"/>
    <w:rsid w:val="6B253296"/>
    <w:rsid w:val="6C8FDD87"/>
    <w:rsid w:val="6D8DB483"/>
    <w:rsid w:val="6DAC2019"/>
    <w:rsid w:val="70A28F92"/>
    <w:rsid w:val="71668259"/>
    <w:rsid w:val="72855B49"/>
    <w:rsid w:val="73C7461C"/>
    <w:rsid w:val="7414E3BE"/>
    <w:rsid w:val="7441FA9B"/>
    <w:rsid w:val="74884912"/>
    <w:rsid w:val="7578A06D"/>
    <w:rsid w:val="77261BA4"/>
    <w:rsid w:val="78CA6D12"/>
    <w:rsid w:val="79EF161C"/>
    <w:rsid w:val="7A0971D3"/>
    <w:rsid w:val="7AC051B1"/>
    <w:rsid w:val="7ADF24C8"/>
    <w:rsid w:val="7BCEB994"/>
    <w:rsid w:val="7C5FD05A"/>
    <w:rsid w:val="7F0B1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051EF"/>
  <w15:chartTrackingRefBased/>
  <w15:docId w15:val="{CD3BCDC8-994D-4E8F-A15D-AF5116D47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FA1C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CC3"/>
  </w:style>
  <w:style w:type="paragraph" w:styleId="Footer">
    <w:name w:val="footer"/>
    <w:basedOn w:val="Normal"/>
    <w:link w:val="FooterChar"/>
    <w:uiPriority w:val="99"/>
    <w:unhideWhenUsed/>
    <w:rsid w:val="00FA1C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CC3"/>
  </w:style>
  <w:style w:type="character" w:styleId="Hyperlink">
    <w:name w:val="Hyperlink"/>
    <w:basedOn w:val="DefaultParagraphFont"/>
    <w:uiPriority w:val="99"/>
    <w:unhideWhenUsed/>
    <w:rsid w:val="003819F0"/>
    <w:rPr>
      <w:color w:val="0563C1" w:themeColor="hyperlink"/>
      <w:u w:val="single"/>
    </w:rPr>
  </w:style>
  <w:style w:type="character" w:styleId="UnresolvedMention">
    <w:name w:val="Unresolved Mention"/>
    <w:basedOn w:val="DefaultParagraphFont"/>
    <w:uiPriority w:val="99"/>
    <w:semiHidden/>
    <w:unhideWhenUsed/>
    <w:rsid w:val="003819F0"/>
    <w:rPr>
      <w:color w:val="605E5C"/>
      <w:shd w:val="clear" w:color="auto" w:fill="E1DFDD"/>
    </w:rPr>
  </w:style>
  <w:style w:type="character" w:customStyle="1" w:styleId="normaltextrun">
    <w:name w:val="normaltextrun"/>
    <w:basedOn w:val="DefaultParagraphFont"/>
    <w:uiPriority w:val="1"/>
    <w:rsid w:val="72855B49"/>
    <w:rPr>
      <w:rFonts w:asciiTheme="minorHAnsi" w:eastAsiaTheme="minorEastAsia" w:hAnsiTheme="minorHAnsi" w:cstheme="minorBidi"/>
      <w:sz w:val="24"/>
      <w:szCs w:val="24"/>
    </w:rPr>
  </w:style>
  <w:style w:type="paragraph" w:styleId="Revision">
    <w:name w:val="Revision"/>
    <w:hidden/>
    <w:uiPriority w:val="99"/>
    <w:semiHidden/>
    <w:rsid w:val="00A07E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provost.uoregon.edu/reviews/guides-forms-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971A62A1A3D24386AF9D052E6C991C" ma:contentTypeVersion="14" ma:contentTypeDescription="Create a new document." ma:contentTypeScope="" ma:versionID="c071f2570e022eaf9549da09ba8501be">
  <xsd:schema xmlns:xsd="http://www.w3.org/2001/XMLSchema" xmlns:xs="http://www.w3.org/2001/XMLSchema" xmlns:p="http://schemas.microsoft.com/office/2006/metadata/properties" xmlns:ns2="98d88515-9981-4d93-bed1-cebcd5e9e4c6" xmlns:ns3="b1af6195-247b-42e6-9c6e-c178122a45ef" targetNamespace="http://schemas.microsoft.com/office/2006/metadata/properties" ma:root="true" ma:fieldsID="bfc69802149ae1cdcd7fa4cd4d98343d" ns2:_="" ns3:_="">
    <xsd:import namespace="98d88515-9981-4d93-bed1-cebcd5e9e4c6"/>
    <xsd:import namespace="b1af6195-247b-42e6-9c6e-c178122a4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8515-9981-4d93-bed1-cebcd5e9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af6195-247b-42e6-9c6e-c178122a45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3525594-84c4-4f06-86a2-355ec576d969}" ma:internalName="TaxCatchAll" ma:showField="CatchAllData" ma:web="b1af6195-247b-42e6-9c6e-c178122a4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1af6195-247b-42e6-9c6e-c178122a45ef">
      <UserInfo>
        <DisplayName>Chelsea Hunt</DisplayName>
        <AccountId>18</AccountId>
        <AccountType/>
      </UserInfo>
      <UserInfo>
        <DisplayName>Mel Chambon</DisplayName>
        <AccountId>19</AccountId>
        <AccountType/>
      </UserInfo>
    </SharedWithUsers>
    <TaxCatchAll xmlns="b1af6195-247b-42e6-9c6e-c178122a45ef" xsi:nil="true"/>
    <lcf76f155ced4ddcb4097134ff3c332f xmlns="98d88515-9981-4d93-bed1-cebcd5e9e4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7298CD-CABC-4CE0-A575-D2BB7B96E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88515-9981-4d93-bed1-cebcd5e9e4c6"/>
    <ds:schemaRef ds:uri="b1af6195-247b-42e6-9c6e-c178122a4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DEB7AE-C3CE-4E62-B9D5-7F25190284CC}">
  <ds:schemaRefs>
    <ds:schemaRef ds:uri="http://schemas.microsoft.com/sharepoint/v3/contenttype/forms"/>
  </ds:schemaRefs>
</ds:datastoreItem>
</file>

<file path=customXml/itemProps3.xml><?xml version="1.0" encoding="utf-8"?>
<ds:datastoreItem xmlns:ds="http://schemas.openxmlformats.org/officeDocument/2006/customXml" ds:itemID="{EC3CFC12-B4BC-4DAA-AE11-E6414428BC38}">
  <ds:schemaRefs>
    <ds:schemaRef ds:uri="http://schemas.microsoft.com/office/2006/metadata/properties"/>
    <ds:schemaRef ds:uri="http://schemas.microsoft.com/office/infopath/2007/PartnerControls"/>
    <ds:schemaRef ds:uri="b1af6195-247b-42e6-9c6e-c178122a45ef"/>
    <ds:schemaRef ds:uri="98d88515-9981-4d93-bed1-cebcd5e9e4c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2320</Characters>
  <Application>Microsoft Office Word</Application>
  <DocSecurity>0</DocSecurity>
  <Lines>19</Lines>
  <Paragraphs>5</Paragraphs>
  <ScaleCrop>false</ScaleCrop>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Talusan</dc:creator>
  <cp:keywords/>
  <dc:description/>
  <cp:lastModifiedBy>Renee Irvin</cp:lastModifiedBy>
  <cp:revision>2</cp:revision>
  <dcterms:created xsi:type="dcterms:W3CDTF">2025-02-19T19:47:00Z</dcterms:created>
  <dcterms:modified xsi:type="dcterms:W3CDTF">2025-02-19T19:47:00Z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0x0101001E971A62A1A3D24386AF9D052E6C991C</vt:lpwstr>
  </property>
  <property fmtid="{D5CDD505-2E9C-101B-9397-08002B2CF9AE}" pid="3" name="MediaServiceImageTags">
    <vt:lpwstr/>
  </property>
</Properties>
</file>