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E34B380" w:rsidP="51DCB5A5" w:rsidRDefault="3E34B380" w14:paraId="3CA78DB6" w14:textId="3CFB0920">
      <w:pPr>
        <w:pStyle w:val="Normal"/>
        <w:keepNext w:val="1"/>
        <w:keepLines w:val="1"/>
        <w:spacing w:before="0" w:beforeAutospacing="off" w:after="0" w:afterAutospacing="off" w:line="240" w:lineRule="auto"/>
        <w:jc w:val="center"/>
        <w:rPr>
          <w:rFonts w:ascii="melior" w:hAnsi="melior" w:eastAsia="melior" w:cs="melior"/>
          <w:b w:val="1"/>
          <w:bCs w:val="1"/>
          <w:i w:val="0"/>
          <w:iCs w:val="0"/>
          <w:color w:val="auto"/>
          <w:sz w:val="24"/>
          <w:szCs w:val="24"/>
        </w:rPr>
      </w:pPr>
      <w:r w:rsidRPr="51DCB5A5" w:rsidR="5F6FBE8F">
        <w:rPr>
          <w:rFonts w:ascii="melior" w:hAnsi="melior" w:eastAsia="melior" w:cs="melior"/>
          <w:b w:val="1"/>
          <w:bCs w:val="1"/>
          <w:i w:val="0"/>
          <w:iCs w:val="0"/>
          <w:caps w:val="0"/>
          <w:smallCaps w:val="0"/>
          <w:strike w:val="0"/>
          <w:dstrike w:val="0"/>
          <w:noProof w:val="0"/>
          <w:color w:val="000000" w:themeColor="text1" w:themeTint="FF" w:themeShade="FF"/>
          <w:sz w:val="24"/>
          <w:szCs w:val="24"/>
          <w:u w:val="none"/>
          <w:lang w:val="en-US"/>
        </w:rPr>
        <w:t>Unit/Department Head</w:t>
      </w:r>
      <w:r w:rsidRPr="51DCB5A5" w:rsidR="5F6FBE8F">
        <w:rPr>
          <w:rFonts w:ascii="melior" w:hAnsi="melior" w:eastAsia="melior" w:cs="melior"/>
          <w:noProof w:val="0"/>
          <w:sz w:val="24"/>
          <w:szCs w:val="24"/>
          <w:lang w:val="en-US"/>
        </w:rPr>
        <w:t xml:space="preserve"> </w:t>
      </w:r>
      <w:r w:rsidRPr="51DCB5A5" w:rsidR="7FD16946">
        <w:rPr>
          <w:rFonts w:ascii="melior" w:hAnsi="melior" w:eastAsia="melior" w:cs="melior"/>
          <w:b w:val="1"/>
          <w:bCs w:val="1"/>
          <w:i w:val="0"/>
          <w:iCs w:val="0"/>
          <w:color w:val="auto"/>
          <w:sz w:val="24"/>
          <w:szCs w:val="24"/>
        </w:rPr>
        <w:t xml:space="preserve">Tenure and Promotion to Associate Report </w:t>
      </w:r>
    </w:p>
    <w:p w:rsidR="3E34B380" w:rsidP="51DCB5A5" w:rsidRDefault="3E34B380" w14:paraId="68D8EF23" w14:textId="0FA703C6">
      <w:pPr>
        <w:pStyle w:val="Normal"/>
        <w:keepNext w:val="1"/>
        <w:keepLines w:val="1"/>
        <w:spacing w:before="0" w:beforeAutospacing="off" w:after="0" w:afterAutospacing="off" w:line="240" w:lineRule="auto"/>
        <w:jc w:val="center"/>
        <w:rPr>
          <w:rFonts w:ascii="melior" w:hAnsi="melior" w:eastAsia="melior" w:cs="melior"/>
          <w:b w:val="1"/>
          <w:bCs w:val="1"/>
          <w:i w:val="0"/>
          <w:iCs w:val="0"/>
          <w:color w:val="auto"/>
          <w:sz w:val="24"/>
          <w:szCs w:val="24"/>
        </w:rPr>
      </w:pPr>
      <w:r w:rsidRPr="51DCB5A5" w:rsidR="7FD16946">
        <w:rPr>
          <w:rFonts w:ascii="melior" w:hAnsi="melior" w:eastAsia="melior" w:cs="melior"/>
          <w:b w:val="1"/>
          <w:bCs w:val="1"/>
          <w:i w:val="0"/>
          <w:iCs w:val="0"/>
          <w:color w:val="auto"/>
          <w:sz w:val="24"/>
          <w:szCs w:val="24"/>
        </w:rPr>
        <w:t>Guidance</w:t>
      </w:r>
      <w:r w:rsidRPr="51DCB5A5" w:rsidR="3120BEA0">
        <w:rPr>
          <w:rFonts w:ascii="melior" w:hAnsi="melior" w:eastAsia="melior" w:cs="melior"/>
          <w:b w:val="1"/>
          <w:bCs w:val="1"/>
          <w:i w:val="0"/>
          <w:iCs w:val="0"/>
          <w:color w:val="auto"/>
          <w:sz w:val="24"/>
          <w:szCs w:val="24"/>
        </w:rPr>
        <w:t xml:space="preserve"> and Template</w:t>
      </w:r>
    </w:p>
    <w:p w:rsidR="5EAEF742" w:rsidP="5EAEF742" w:rsidRDefault="5EAEF742" w14:paraId="21558A2F" w14:textId="6E043AD6">
      <w:pPr>
        <w:pStyle w:val="Normal"/>
        <w:keepNext w:val="1"/>
        <w:keepLines w:val="1"/>
        <w:spacing w:before="0" w:beforeAutospacing="off" w:after="0" w:afterAutospacing="off" w:line="240" w:lineRule="auto"/>
        <w:jc w:val="left"/>
        <w:rPr>
          <w:rFonts w:ascii="melior" w:hAnsi="melior" w:eastAsia="melior" w:cs="melior"/>
          <w:b w:val="0"/>
          <w:bCs w:val="0"/>
          <w:i w:val="0"/>
          <w:iCs w:val="0"/>
          <w:color w:val="auto"/>
          <w:sz w:val="24"/>
          <w:szCs w:val="24"/>
        </w:rPr>
      </w:pPr>
    </w:p>
    <w:p w:rsidR="03AAD42D" w:rsidP="5EAEF742" w:rsidRDefault="03AAD42D" w14:paraId="67984C4C" w14:textId="21788253">
      <w:pPr>
        <w:pStyle w:val="Normal"/>
        <w:keepNext w:val="1"/>
        <w:keepLines w:val="1"/>
        <w:spacing w:before="0" w:beforeAutospacing="off" w:after="0" w:afterAutospacing="off" w:line="240" w:lineRule="auto"/>
        <w:jc w:val="left"/>
        <w:rPr>
          <w:rFonts w:ascii="melior" w:hAnsi="melior" w:eastAsia="melior" w:cs="melior"/>
          <w:b w:val="0"/>
          <w:bCs w:val="0"/>
          <w:i w:val="1"/>
          <w:iCs w:val="1"/>
          <w:color w:val="auto"/>
          <w:sz w:val="24"/>
          <w:szCs w:val="24"/>
        </w:rPr>
      </w:pPr>
      <w:r w:rsidRPr="5EAEF742" w:rsidR="03AAD42D">
        <w:rPr>
          <w:rFonts w:ascii="melior" w:hAnsi="melior" w:eastAsia="melior" w:cs="melior"/>
          <w:b w:val="0"/>
          <w:bCs w:val="0"/>
          <w:i w:val="1"/>
          <w:iCs w:val="1"/>
          <w:color w:val="auto"/>
          <w:sz w:val="24"/>
          <w:szCs w:val="24"/>
        </w:rPr>
        <w:t xml:space="preserve">This report should be </w:t>
      </w:r>
      <w:r w:rsidRPr="5EAEF742" w:rsidR="03AAD42D">
        <w:rPr>
          <w:rFonts w:ascii="melior" w:hAnsi="melior" w:eastAsia="melior" w:cs="melior"/>
          <w:b w:val="0"/>
          <w:bCs w:val="0"/>
          <w:i w:val="1"/>
          <w:iCs w:val="1"/>
          <w:color w:val="auto"/>
          <w:sz w:val="24"/>
          <w:szCs w:val="24"/>
        </w:rPr>
        <w:t>no longer t</w:t>
      </w:r>
      <w:r w:rsidRPr="5EAEF742" w:rsidR="03AAD42D">
        <w:rPr>
          <w:rFonts w:ascii="melior" w:hAnsi="melior" w:eastAsia="melior" w:cs="melior"/>
          <w:b w:val="0"/>
          <w:bCs w:val="0"/>
          <w:i w:val="1"/>
          <w:iCs w:val="1"/>
          <w:color w:val="auto"/>
          <w:sz w:val="24"/>
          <w:szCs w:val="24"/>
        </w:rPr>
        <w:t>han</w:t>
      </w:r>
      <w:r w:rsidRPr="5EAEF742" w:rsidR="03AAD42D">
        <w:rPr>
          <w:rFonts w:ascii="melior" w:hAnsi="melior" w:eastAsia="melior" w:cs="melior"/>
          <w:b w:val="0"/>
          <w:bCs w:val="0"/>
          <w:i w:val="1"/>
          <w:iCs w:val="1"/>
          <w:color w:val="auto"/>
          <w:sz w:val="24"/>
          <w:szCs w:val="24"/>
        </w:rPr>
        <w:t xml:space="preserve"> three legible pages and less than 900 words</w:t>
      </w:r>
      <w:r w:rsidRPr="5EAEF742" w:rsidR="03AAD42D">
        <w:rPr>
          <w:rFonts w:ascii="melior" w:hAnsi="melior" w:eastAsia="melior" w:cs="melior"/>
          <w:b w:val="0"/>
          <w:bCs w:val="0"/>
          <w:i w:val="1"/>
          <w:iCs w:val="1"/>
          <w:color w:val="auto"/>
          <w:sz w:val="24"/>
          <w:szCs w:val="24"/>
        </w:rPr>
        <w:t xml:space="preserve"> </w:t>
      </w:r>
      <w:r w:rsidRPr="5EAEF742" w:rsidR="03AAD42D">
        <w:rPr>
          <w:rFonts w:ascii="melior" w:hAnsi="melior" w:eastAsia="melior" w:cs="melior"/>
          <w:b w:val="0"/>
          <w:bCs w:val="0"/>
          <w:i w:val="1"/>
          <w:iCs w:val="1"/>
          <w:color w:val="auto"/>
          <w:sz w:val="24"/>
          <w:szCs w:val="24"/>
        </w:rPr>
        <w:t xml:space="preserve">and consist of two parts: </w:t>
      </w:r>
    </w:p>
    <w:p w:rsidR="03AAD42D" w:rsidP="5EAEF742" w:rsidRDefault="03AAD42D" w14:paraId="017780E9" w14:textId="33AC8C67">
      <w:pPr>
        <w:pStyle w:val="ListParagraph"/>
        <w:numPr>
          <w:ilvl w:val="0"/>
          <w:numId w:val="21"/>
        </w:numPr>
        <w:spacing w:after="0" w:line="240" w:lineRule="auto"/>
        <w:rPr>
          <w:rFonts w:ascii="melior" w:hAnsi="melior" w:eastAsia="melior" w:cs="melior"/>
          <w:b w:val="0"/>
          <w:bCs w:val="0"/>
          <w:i w:val="1"/>
          <w:iCs w:val="1"/>
          <w:color w:val="auto"/>
          <w:sz w:val="24"/>
          <w:szCs w:val="24"/>
        </w:rPr>
      </w:pPr>
      <w:r w:rsidRPr="5EAEF742" w:rsidR="03AAD42D">
        <w:rPr>
          <w:rFonts w:ascii="melior" w:hAnsi="melior" w:eastAsia="melior" w:cs="melior"/>
          <w:b w:val="0"/>
          <w:bCs w:val="0"/>
          <w:i w:val="1"/>
          <w:iCs w:val="1"/>
          <w:color w:val="auto"/>
          <w:sz w:val="24"/>
          <w:szCs w:val="24"/>
        </w:rPr>
        <w:t>an administrative summary of the department’s handling of and position on the case</w:t>
      </w:r>
      <w:r w:rsidRPr="5EAEF742" w:rsidR="3B8FEB6A">
        <w:rPr>
          <w:rFonts w:ascii="melior" w:hAnsi="melior" w:eastAsia="melior" w:cs="melior"/>
          <w:b w:val="0"/>
          <w:bCs w:val="0"/>
          <w:i w:val="1"/>
          <w:iCs w:val="1"/>
          <w:color w:val="auto"/>
          <w:sz w:val="24"/>
          <w:szCs w:val="24"/>
        </w:rPr>
        <w:t>;</w:t>
      </w:r>
    </w:p>
    <w:p w:rsidR="03AAD42D" w:rsidP="5EAEF742" w:rsidRDefault="03AAD42D" w14:paraId="5D384D49" w14:textId="2030355E">
      <w:pPr>
        <w:pStyle w:val="ListParagraph"/>
        <w:numPr>
          <w:ilvl w:val="0"/>
          <w:numId w:val="21"/>
        </w:numPr>
        <w:spacing w:after="0" w:line="240" w:lineRule="auto"/>
        <w:rPr>
          <w:rFonts w:ascii="melior" w:hAnsi="melior" w:eastAsia="melior" w:cs="melior"/>
          <w:b w:val="0"/>
          <w:bCs w:val="0"/>
          <w:i w:val="1"/>
          <w:iCs w:val="1"/>
          <w:color w:val="auto"/>
          <w:sz w:val="24"/>
          <w:szCs w:val="24"/>
        </w:rPr>
      </w:pPr>
      <w:r w:rsidRPr="5EAEF742" w:rsidR="03AAD42D">
        <w:rPr>
          <w:rFonts w:ascii="melior" w:hAnsi="melior" w:eastAsia="melior" w:cs="melior"/>
          <w:b w:val="0"/>
          <w:bCs w:val="0"/>
          <w:i w:val="1"/>
          <w:iCs w:val="1"/>
          <w:color w:val="auto"/>
          <w:sz w:val="24"/>
          <w:szCs w:val="24"/>
        </w:rPr>
        <w:t xml:space="preserve">the department head’s independent evaluation of the case. </w:t>
      </w:r>
    </w:p>
    <w:p w:rsidR="3E34B380" w:rsidP="5EAEF742" w:rsidRDefault="3E34B380" w14:paraId="63E8B2DB" w14:textId="683E5B52">
      <w:pPr>
        <w:spacing w:after="0" w:line="240" w:lineRule="auto"/>
        <w:rPr>
          <w:rFonts w:ascii="melior" w:hAnsi="melior" w:eastAsia="melior" w:cs="melior"/>
          <w:b w:val="0"/>
          <w:bCs w:val="0"/>
          <w:i w:val="1"/>
          <w:iCs w:val="1"/>
          <w:color w:val="auto"/>
          <w:sz w:val="24"/>
          <w:szCs w:val="24"/>
        </w:rPr>
      </w:pPr>
    </w:p>
    <w:p w:rsidR="03AAD42D" w:rsidP="5EAEF742" w:rsidRDefault="03AAD42D" w14:paraId="53E59C44" w14:textId="4D6A5FFD">
      <w:pPr>
        <w:pStyle w:val="Normal"/>
        <w:keepNext w:val="1"/>
        <w:keepLines w:val="1"/>
        <w:spacing w:before="0" w:beforeAutospacing="off" w:after="0" w:afterAutospacing="off" w:line="240" w:lineRule="auto"/>
        <w:rPr>
          <w:rFonts w:ascii="melior" w:hAnsi="melior" w:eastAsia="melior" w:cs="melior"/>
          <w:i w:val="1"/>
          <w:iCs w:val="1"/>
          <w:color w:val="auto"/>
          <w:sz w:val="24"/>
          <w:szCs w:val="24"/>
        </w:rPr>
      </w:pPr>
      <w:r w:rsidRPr="5EAEF742" w:rsidR="03AAD42D">
        <w:rPr>
          <w:rFonts w:ascii="melior" w:hAnsi="melior" w:eastAsia="melior" w:cs="melior"/>
          <w:i w:val="1"/>
          <w:iCs w:val="1"/>
          <w:color w:val="auto"/>
          <w:sz w:val="24"/>
          <w:szCs w:val="24"/>
        </w:rPr>
        <w:t xml:space="preserve">It is neither necessary nor desirable to duplicate material presented by the department committee. Members of internal review committees will appreciate </w:t>
      </w:r>
      <w:r w:rsidRPr="5EAEF742" w:rsidR="03AAD42D">
        <w:rPr>
          <w:rFonts w:ascii="melior" w:hAnsi="melior" w:eastAsia="melior" w:cs="melior"/>
          <w:i w:val="1"/>
          <w:iCs w:val="1"/>
          <w:color w:val="auto"/>
          <w:sz w:val="24"/>
          <w:szCs w:val="24"/>
        </w:rPr>
        <w:t>additional</w:t>
      </w:r>
      <w:r w:rsidRPr="5EAEF742" w:rsidR="03AAD42D">
        <w:rPr>
          <w:rFonts w:ascii="melior" w:hAnsi="melior" w:eastAsia="melior" w:cs="melior"/>
          <w:i w:val="1"/>
          <w:iCs w:val="1"/>
          <w:color w:val="auto"/>
          <w:sz w:val="24"/>
          <w:szCs w:val="24"/>
        </w:rPr>
        <w:t xml:space="preserve"> insights provided by the department head that help them to interpret the file, particularly in cases of conflicting opinions among the external reviewers and/or department faculty. </w:t>
      </w:r>
      <w:r w:rsidRPr="5EAEF742" w:rsidR="03AAD42D">
        <w:rPr>
          <w:rFonts w:ascii="melior" w:hAnsi="melior" w:eastAsia="melior" w:cs="melior"/>
          <w:i w:val="1"/>
          <w:iCs w:val="1"/>
          <w:color w:val="auto"/>
          <w:sz w:val="24"/>
          <w:szCs w:val="24"/>
        </w:rPr>
        <w:t>It is the responsibility of the department head to independently analyze any diverging opinions and indicate the reasoning behind his or her conclusions about the merits of the case.</w:t>
      </w:r>
    </w:p>
    <w:p w:rsidR="3E34B380" w:rsidP="3E34B380" w:rsidRDefault="3E34B380" w14:paraId="20C53F49" w14:textId="5737CB97">
      <w:pPr>
        <w:pStyle w:val="Normal"/>
        <w:keepNext w:val="1"/>
        <w:keepLines w:val="1"/>
        <w:spacing w:before="0" w:beforeAutospacing="off" w:after="0" w:afterAutospacing="off" w:line="240" w:lineRule="auto"/>
        <w:rPr>
          <w:rFonts w:ascii="melior" w:hAnsi="melior" w:eastAsia="melior" w:cs="melior"/>
          <w:i w:val="0"/>
          <w:iCs w:val="0"/>
          <w:color w:val="auto"/>
          <w:sz w:val="24"/>
          <w:szCs w:val="24"/>
        </w:rPr>
      </w:pPr>
    </w:p>
    <w:p w:rsidR="3E34B380" w:rsidP="1DCB0C8E" w:rsidRDefault="3E34B380" w14:paraId="08576227" w14:textId="5E6BDA6F">
      <w:pPr>
        <w:pStyle w:val="Normal"/>
        <w:keepNext w:val="1"/>
        <w:keepLines w:val="1"/>
        <w:spacing w:before="0" w:beforeAutospacing="off" w:after="0" w:afterAutospacing="off" w:line="240" w:lineRule="auto"/>
        <w:rPr>
          <w:rFonts w:ascii="melior" w:hAnsi="melior" w:eastAsia="melior" w:cs="melior"/>
          <w:b w:val="1"/>
          <w:bCs w:val="1"/>
          <w:color w:val="auto"/>
          <w:sz w:val="24"/>
          <w:szCs w:val="24"/>
        </w:rPr>
      </w:pPr>
    </w:p>
    <w:p w:rsidR="009239CA" w:rsidP="1DCB0C8E" w:rsidRDefault="003B1B5D" w14:paraId="7B836F4B" w14:textId="64BB533F">
      <w:pPr>
        <w:pStyle w:val="Heading1"/>
        <w:keepNext w:val="1"/>
        <w:keepLines w:val="1"/>
        <w:spacing w:before="0" w:beforeAutospacing="off" w:after="0" w:afterAutospacing="off" w:line="240" w:lineRule="auto"/>
        <w:rPr>
          <w:rFonts w:ascii="melior" w:hAnsi="melior" w:eastAsia="melior" w:cs="melior"/>
          <w:b w:val="1"/>
          <w:bCs w:val="1"/>
          <w:i w:val="0"/>
          <w:iCs w:val="0"/>
          <w:noProof w:val="0"/>
          <w:color w:val="5B9AD5" w:themeColor="accent5" w:themeTint="FF" w:themeShade="FF"/>
          <w:sz w:val="24"/>
          <w:szCs w:val="24"/>
          <w:lang w:val="en-US"/>
        </w:rPr>
      </w:pPr>
      <w:r w:rsidRPr="1DCB0C8E" w:rsidR="2CD239DF">
        <w:rPr>
          <w:rFonts w:ascii="melior" w:hAnsi="melior" w:eastAsia="melior" w:cs="melior"/>
          <w:b w:val="1"/>
          <w:bCs w:val="1"/>
          <w:i w:val="1"/>
          <w:iCs w:val="1"/>
          <w:noProof w:val="0"/>
          <w:color w:val="5B9AD5"/>
          <w:sz w:val="24"/>
          <w:szCs w:val="24"/>
          <w:lang w:val="en-US"/>
        </w:rPr>
        <w:t>*Use your departmental letterhead</w:t>
      </w:r>
    </w:p>
    <w:p w:rsidR="009239CA" w:rsidP="3E34B380" w:rsidRDefault="003B1B5D" w14:paraId="77A212AC" w14:textId="6400502A">
      <w:pPr>
        <w:keepNext w:val="1"/>
        <w:keepLines w:val="1"/>
        <w:spacing w:before="0" w:beforeAutospacing="off" w:after="0" w:afterAutospacing="off" w:line="240" w:lineRule="auto"/>
        <w:rPr>
          <w:rFonts w:ascii="melior" w:hAnsi="melior" w:eastAsia="melior" w:cs="melior"/>
          <w:b w:val="0"/>
          <w:bCs w:val="0"/>
          <w:i w:val="0"/>
          <w:iCs w:val="0"/>
          <w:noProof w:val="0"/>
          <w:color w:val="auto" w:themeColor="accent1" w:themeTint="FF" w:themeShade="80"/>
          <w:sz w:val="24"/>
          <w:szCs w:val="24"/>
          <w:lang w:val="en-US"/>
        </w:rPr>
      </w:pPr>
    </w:p>
    <w:p w:rsidR="009239CA" w:rsidP="3E34B380" w:rsidRDefault="003B1B5D" w14:paraId="2D2D4594" w14:textId="3DA43E17">
      <w:pPr>
        <w:pStyle w:val="Heading1"/>
        <w:keepNext w:val="1"/>
        <w:keepLines w:val="1"/>
        <w:spacing w:before="0" w:beforeAutospacing="off" w:after="0" w:afterAutospacing="off" w:line="240" w:lineRule="auto"/>
        <w:rPr>
          <w:rFonts w:ascii="melior" w:hAnsi="melior" w:eastAsia="melior" w:cs="melior"/>
          <w:b w:val="1"/>
          <w:bCs w:val="1"/>
          <w:i w:val="0"/>
          <w:iCs w:val="0"/>
          <w:noProof w:val="0"/>
          <w:color w:val="5B9BD5" w:themeColor="accent5" w:themeTint="FF" w:themeShade="FF"/>
          <w:sz w:val="24"/>
          <w:szCs w:val="24"/>
          <w:lang w:val="en-US"/>
        </w:rPr>
      </w:pPr>
      <w:r w:rsidRPr="3E34B380" w:rsidR="2CD239DF">
        <w:rPr>
          <w:rFonts w:ascii="melior" w:hAnsi="melior" w:eastAsia="melior" w:cs="melior"/>
          <w:b w:val="0"/>
          <w:bCs w:val="0"/>
          <w:i w:val="0"/>
          <w:iCs w:val="0"/>
          <w:noProof w:val="0"/>
          <w:color w:val="auto"/>
          <w:sz w:val="24"/>
          <w:szCs w:val="24"/>
          <w:lang w:val="en-US"/>
        </w:rPr>
        <w:t>To:</w:t>
      </w:r>
      <w:r w:rsidRPr="3E34B380" w:rsidR="2CD239DF">
        <w:rPr>
          <w:rFonts w:ascii="melior" w:hAnsi="melior" w:eastAsia="melior" w:cs="melior"/>
          <w:b w:val="0"/>
          <w:bCs w:val="0"/>
          <w:i w:val="0"/>
          <w:iCs w:val="0"/>
          <w:noProof w:val="0"/>
          <w:color w:val="5B9BD5" w:themeColor="accent5" w:themeTint="FF" w:themeShade="FF"/>
          <w:sz w:val="24"/>
          <w:szCs w:val="24"/>
          <w:lang w:val="en-US"/>
        </w:rPr>
        <w:t xml:space="preserve"> </w:t>
      </w:r>
      <w:r w:rsidRPr="3E34B380" w:rsidR="7F6DE6FE">
        <w:rPr>
          <w:rFonts w:ascii="melior" w:hAnsi="melior" w:eastAsia="melior" w:cs="melior"/>
          <w:b w:val="0"/>
          <w:bCs w:val="0"/>
          <w:i w:val="0"/>
          <w:iCs w:val="0"/>
          <w:noProof w:val="0"/>
          <w:color w:val="5B9BD5" w:themeColor="accent5" w:themeTint="FF" w:themeShade="FF"/>
          <w:sz w:val="24"/>
          <w:szCs w:val="24"/>
          <w:lang w:val="en-US"/>
        </w:rPr>
        <w:t>&lt;</w:t>
      </w:r>
      <w:r w:rsidRPr="3E34B380" w:rsidR="55A1CF00">
        <w:rPr>
          <w:rFonts w:ascii="melior" w:hAnsi="melior" w:eastAsia="melior" w:cs="melior"/>
          <w:b w:val="0"/>
          <w:bCs w:val="0"/>
          <w:i w:val="0"/>
          <w:iCs w:val="0"/>
          <w:noProof w:val="0"/>
          <w:color w:val="5B9BD5" w:themeColor="accent5" w:themeTint="FF" w:themeShade="FF"/>
          <w:sz w:val="24"/>
          <w:szCs w:val="24"/>
          <w:lang w:val="en-US"/>
        </w:rPr>
        <w:t>DEAN</w:t>
      </w:r>
      <w:r w:rsidRPr="3E34B380" w:rsidR="55A1CF00">
        <w:rPr>
          <w:rFonts w:ascii="melior" w:hAnsi="melior" w:eastAsia="melior" w:cs="melior"/>
          <w:b w:val="0"/>
          <w:bCs w:val="0"/>
          <w:i w:val="0"/>
          <w:iCs w:val="0"/>
          <w:noProof w:val="0"/>
          <w:color w:val="5B9BD5" w:themeColor="accent5" w:themeTint="FF" w:themeShade="FF"/>
          <w:sz w:val="24"/>
          <w:szCs w:val="24"/>
          <w:lang w:val="en-US"/>
        </w:rPr>
        <w:t>&gt;</w:t>
      </w:r>
    </w:p>
    <w:p w:rsidR="009239CA" w:rsidP="3E34B380" w:rsidRDefault="003B1B5D" w14:paraId="1B7484D4" w14:textId="30A0F5C4">
      <w:pPr>
        <w:pStyle w:val="Heading1"/>
        <w:keepNext w:val="1"/>
        <w:keepLines w:val="1"/>
        <w:spacing w:before="0" w:beforeAutospacing="off" w:after="0" w:afterAutospacing="off" w:line="240" w:lineRule="auto"/>
        <w:rPr>
          <w:rFonts w:ascii="melior" w:hAnsi="melior" w:eastAsia="melior" w:cs="melior"/>
          <w:b w:val="0"/>
          <w:bCs w:val="0"/>
          <w:i w:val="0"/>
          <w:iCs w:val="0"/>
          <w:noProof w:val="0"/>
          <w:color w:val="5B9BD5" w:themeColor="accent5" w:themeTint="FF" w:themeShade="FF"/>
          <w:sz w:val="24"/>
          <w:szCs w:val="24"/>
          <w:lang w:val="en-US"/>
        </w:rPr>
      </w:pPr>
      <w:r w:rsidRPr="3E34B380" w:rsidR="2CD239DF">
        <w:rPr>
          <w:rFonts w:ascii="melior" w:hAnsi="melior" w:eastAsia="melior" w:cs="melior"/>
          <w:b w:val="0"/>
          <w:bCs w:val="0"/>
          <w:i w:val="0"/>
          <w:iCs w:val="0"/>
          <w:noProof w:val="0"/>
          <w:color w:val="auto"/>
          <w:sz w:val="24"/>
          <w:szCs w:val="24"/>
          <w:lang w:val="en-US"/>
        </w:rPr>
        <w:t>From:</w:t>
      </w:r>
      <w:r w:rsidRPr="3E34B380" w:rsidR="2CD239DF">
        <w:rPr>
          <w:rFonts w:ascii="melior" w:hAnsi="melior" w:eastAsia="melior" w:cs="melior"/>
          <w:b w:val="0"/>
          <w:bCs w:val="0"/>
          <w:i w:val="0"/>
          <w:iCs w:val="0"/>
          <w:noProof w:val="0"/>
          <w:color w:val="auto"/>
          <w:sz w:val="24"/>
          <w:szCs w:val="24"/>
          <w:lang w:val="en-US"/>
        </w:rPr>
        <w:t xml:space="preserve"> </w:t>
      </w:r>
      <w:r w:rsidRPr="3E34B380" w:rsidR="1D4FD551">
        <w:rPr>
          <w:rFonts w:ascii="melior" w:hAnsi="melior" w:eastAsia="melior" w:cs="melior"/>
          <w:b w:val="0"/>
          <w:bCs w:val="0"/>
          <w:i w:val="0"/>
          <w:iCs w:val="0"/>
          <w:noProof w:val="0"/>
          <w:color w:val="5B9BD5" w:themeColor="accent5" w:themeTint="FF" w:themeShade="FF"/>
          <w:sz w:val="24"/>
          <w:szCs w:val="24"/>
          <w:lang w:val="en-US"/>
        </w:rPr>
        <w:t>&lt;</w:t>
      </w:r>
      <w:r w:rsidRPr="3E34B380" w:rsidR="779A456C">
        <w:rPr>
          <w:rFonts w:ascii="melior" w:hAnsi="melior" w:eastAsia="melior" w:cs="melior"/>
          <w:b w:val="0"/>
          <w:bCs w:val="0"/>
          <w:i w:val="0"/>
          <w:iCs w:val="0"/>
          <w:noProof w:val="0"/>
          <w:color w:val="5B9BD5" w:themeColor="accent5" w:themeTint="FF" w:themeShade="FF"/>
          <w:sz w:val="24"/>
          <w:szCs w:val="24"/>
          <w:lang w:val="en-US"/>
        </w:rPr>
        <w:t>UNIT/DEPARTMENT HEAD NAME, UNIT NAME</w:t>
      </w:r>
      <w:r w:rsidRPr="3E34B380" w:rsidR="6953371A">
        <w:rPr>
          <w:rFonts w:ascii="melior" w:hAnsi="melior" w:eastAsia="melior" w:cs="melior"/>
          <w:b w:val="0"/>
          <w:bCs w:val="0"/>
          <w:i w:val="0"/>
          <w:iCs w:val="0"/>
          <w:noProof w:val="0"/>
          <w:color w:val="5B9BD5" w:themeColor="accent5" w:themeTint="FF" w:themeShade="FF"/>
          <w:sz w:val="24"/>
          <w:szCs w:val="24"/>
          <w:lang w:val="en-US"/>
        </w:rPr>
        <w:t>&gt;</w:t>
      </w:r>
    </w:p>
    <w:p w:rsidR="009239CA" w:rsidP="3E34B380" w:rsidRDefault="003B1B5D" w14:paraId="29D82AC2" w14:textId="1C2BD581">
      <w:pPr>
        <w:pStyle w:val="Heading1"/>
        <w:keepNext w:val="1"/>
        <w:keepLines w:val="1"/>
        <w:spacing w:before="0" w:beforeAutospacing="off" w:after="0" w:afterAutospacing="off" w:line="240" w:lineRule="auto"/>
        <w:rPr>
          <w:rFonts w:ascii="melior" w:hAnsi="melior" w:eastAsia="melior" w:cs="melior"/>
          <w:b w:val="1"/>
          <w:bCs w:val="1"/>
          <w:i w:val="0"/>
          <w:iCs w:val="0"/>
          <w:noProof w:val="0"/>
          <w:color w:val="auto"/>
          <w:sz w:val="24"/>
          <w:szCs w:val="24"/>
          <w:lang w:val="en-US"/>
        </w:rPr>
      </w:pPr>
      <w:r w:rsidRPr="3E34B380" w:rsidR="2CD239DF">
        <w:rPr>
          <w:rFonts w:ascii="melior" w:hAnsi="melior" w:eastAsia="melior" w:cs="melior"/>
          <w:b w:val="0"/>
          <w:bCs w:val="0"/>
          <w:i w:val="0"/>
          <w:iCs w:val="0"/>
          <w:noProof w:val="0"/>
          <w:color w:val="auto"/>
          <w:sz w:val="24"/>
          <w:szCs w:val="24"/>
          <w:lang w:val="en-US"/>
        </w:rPr>
        <w:t>Re: Department Head’s Report for</w:t>
      </w:r>
      <w:r w:rsidRPr="3E34B380" w:rsidR="2CD239DF">
        <w:rPr>
          <w:rFonts w:ascii="melior" w:hAnsi="melior" w:eastAsia="melior" w:cs="melior"/>
          <w:b w:val="0"/>
          <w:bCs w:val="0"/>
          <w:i w:val="0"/>
          <w:iCs w:val="0"/>
          <w:noProof w:val="0"/>
          <w:color w:val="5B9BD5" w:themeColor="accent5" w:themeTint="FF" w:themeShade="FF"/>
          <w:sz w:val="24"/>
          <w:szCs w:val="24"/>
          <w:lang w:val="en-US"/>
        </w:rPr>
        <w:t xml:space="preserve"> </w:t>
      </w:r>
      <w:r w:rsidRPr="3E34B380" w:rsidR="568F5804">
        <w:rPr>
          <w:rFonts w:ascii="melior" w:hAnsi="melior" w:eastAsia="melior" w:cs="melior"/>
          <w:b w:val="0"/>
          <w:bCs w:val="0"/>
          <w:i w:val="0"/>
          <w:iCs w:val="0"/>
          <w:noProof w:val="0"/>
          <w:color w:val="5B9BD5" w:themeColor="accent5" w:themeTint="FF" w:themeShade="FF"/>
          <w:sz w:val="24"/>
          <w:szCs w:val="24"/>
          <w:lang w:val="en-US"/>
        </w:rPr>
        <w:t>&lt;CANDIDATE’S NAME&gt;</w:t>
      </w:r>
      <w:r w:rsidRPr="3E34B380" w:rsidR="2CD239DF">
        <w:rPr>
          <w:rFonts w:ascii="melior" w:hAnsi="melior" w:eastAsia="melior" w:cs="melior"/>
          <w:b w:val="0"/>
          <w:bCs w:val="0"/>
          <w:i w:val="0"/>
          <w:iCs w:val="0"/>
          <w:noProof w:val="0"/>
          <w:color w:val="auto"/>
          <w:sz w:val="24"/>
          <w:szCs w:val="24"/>
          <w:lang w:val="en-US"/>
        </w:rPr>
        <w:t xml:space="preserve">, </w:t>
      </w:r>
      <w:r w:rsidRPr="3E34B380" w:rsidR="2CD239DF">
        <w:rPr>
          <w:rFonts w:ascii="melior" w:hAnsi="melior" w:eastAsia="melior" w:cs="melior"/>
          <w:b w:val="0"/>
          <w:bCs w:val="0"/>
          <w:i w:val="0"/>
          <w:iCs w:val="0"/>
          <w:noProof w:val="0"/>
          <w:color w:val="auto"/>
          <w:sz w:val="24"/>
          <w:szCs w:val="24"/>
          <w:lang w:val="en-US"/>
        </w:rPr>
        <w:t>Tenure and Promotion to Associate</w:t>
      </w:r>
    </w:p>
    <w:p w:rsidRPr="00871851" w:rsidR="003B1B5D" w:rsidP="647AC4B8" w:rsidRDefault="003B1B5D" w14:paraId="24EDF503" w14:textId="3B7E2673">
      <w:pPr>
        <w:pStyle w:val="Heading1"/>
        <w:spacing w:after="120" w:afterAutospacing="off"/>
        <w:rPr>
          <w:rFonts w:ascii="melior" w:hAnsi="melior" w:eastAsia="melior" w:cs="melior"/>
          <w:color w:val="auto"/>
          <w:sz w:val="24"/>
          <w:szCs w:val="24"/>
          <w:u w:val="single"/>
        </w:rPr>
      </w:pPr>
      <w:r w:rsidRPr="647AC4B8" w:rsidR="003B1B5D">
        <w:rPr>
          <w:rFonts w:ascii="melior" w:hAnsi="melior" w:eastAsia="melior" w:cs="melior"/>
          <w:color w:val="auto"/>
          <w:sz w:val="24"/>
          <w:szCs w:val="24"/>
          <w:u w:val="single"/>
        </w:rPr>
        <w:t>Administrative Summary</w:t>
      </w:r>
    </w:p>
    <w:p w:rsidRPr="00554765" w:rsidR="003B1B5D" w:rsidP="5EAEF742" w:rsidRDefault="003B1B5D" w14:paraId="61DA51EC" w14:textId="77777777">
      <w:pPr>
        <w:spacing w:before="100" w:beforeAutospacing="on" w:after="100" w:afterAutospacing="on" w:line="240" w:lineRule="auto"/>
        <w:rPr>
          <w:rFonts w:ascii="melior" w:hAnsi="melior" w:eastAsia="melior" w:cs="melior"/>
          <w:i w:val="1"/>
          <w:iCs w:val="1"/>
          <w:color w:val="auto" w:themeColor="accent5" w:themeTint="FF" w:themeShade="FF"/>
          <w:sz w:val="24"/>
          <w:szCs w:val="24"/>
        </w:rPr>
      </w:pPr>
      <w:r w:rsidRPr="5EAEF742" w:rsidR="003B1B5D">
        <w:rPr>
          <w:rFonts w:ascii="melior" w:hAnsi="melior" w:eastAsia="melior" w:cs="melior"/>
          <w:i w:val="1"/>
          <w:iCs w:val="1"/>
          <w:color w:val="auto"/>
          <w:sz w:val="24"/>
          <w:szCs w:val="24"/>
        </w:rPr>
        <w:t>If the department committee report does not do so, the department head should provide: </w:t>
      </w:r>
    </w:p>
    <w:p w:rsidRPr="00554765" w:rsidR="003B1B5D" w:rsidP="5EAEF742" w:rsidRDefault="003B1B5D" w14:paraId="0F85B85C" w14:textId="77777777">
      <w:pPr>
        <w:numPr>
          <w:ilvl w:val="0"/>
          <w:numId w:val="8"/>
        </w:numPr>
        <w:spacing w:before="100" w:beforeAutospacing="on" w:after="100" w:afterAutospacing="on" w:line="240" w:lineRule="auto"/>
        <w:rPr>
          <w:rFonts w:ascii="melior" w:hAnsi="melior" w:eastAsia="melior" w:cs="melior"/>
          <w:i w:val="1"/>
          <w:iCs w:val="1"/>
          <w:color w:val="auto" w:themeColor="accent5" w:themeTint="FF" w:themeShade="FF"/>
          <w:sz w:val="24"/>
          <w:szCs w:val="24"/>
        </w:rPr>
      </w:pPr>
      <w:r w:rsidRPr="5EAEF742" w:rsidR="003B1B5D">
        <w:rPr>
          <w:rFonts w:ascii="melior" w:hAnsi="melior" w:eastAsia="melior" w:cs="melior"/>
          <w:i w:val="1"/>
          <w:iCs w:val="1"/>
          <w:color w:val="auto"/>
          <w:sz w:val="24"/>
          <w:szCs w:val="24"/>
        </w:rPr>
        <w:t xml:space="preserve">A brief explanation of the unit’s review process and any special considerations involved with the </w:t>
      </w:r>
      <w:r w:rsidRPr="5EAEF742" w:rsidR="003B1B5D">
        <w:rPr>
          <w:rFonts w:ascii="melior" w:hAnsi="melior" w:eastAsia="melior" w:cs="melior"/>
          <w:i w:val="1"/>
          <w:iCs w:val="1"/>
          <w:color w:val="auto"/>
          <w:sz w:val="24"/>
          <w:szCs w:val="24"/>
        </w:rPr>
        <w:t>review</w:t>
      </w:r>
      <w:r w:rsidRPr="5EAEF742" w:rsidR="003B1B5D">
        <w:rPr>
          <w:rFonts w:ascii="melior" w:hAnsi="melior" w:eastAsia="melior" w:cs="melior"/>
          <w:i w:val="1"/>
          <w:iCs w:val="1"/>
          <w:color w:val="auto"/>
          <w:sz w:val="24"/>
          <w:szCs w:val="24"/>
        </w:rPr>
        <w:t>  </w:t>
      </w:r>
    </w:p>
    <w:p w:rsidRPr="00554765" w:rsidR="003B1B5D" w:rsidP="5EAEF742" w:rsidRDefault="003B1B5D" w14:paraId="17FE4AEF" w14:textId="77777777">
      <w:pPr>
        <w:numPr>
          <w:ilvl w:val="0"/>
          <w:numId w:val="8"/>
        </w:numPr>
        <w:spacing w:before="100" w:beforeAutospacing="on" w:after="100" w:afterAutospacing="on" w:line="240" w:lineRule="auto"/>
        <w:rPr>
          <w:rFonts w:ascii="melior" w:hAnsi="melior" w:eastAsia="melior" w:cs="melior"/>
          <w:i w:val="1"/>
          <w:iCs w:val="1"/>
          <w:color w:val="auto" w:themeColor="accent5" w:themeTint="FF" w:themeShade="FF"/>
          <w:sz w:val="24"/>
          <w:szCs w:val="24"/>
        </w:rPr>
      </w:pPr>
      <w:r w:rsidRPr="5EAEF742" w:rsidR="003B1B5D">
        <w:rPr>
          <w:rFonts w:ascii="melior" w:hAnsi="melior" w:eastAsia="melior" w:cs="melior"/>
          <w:i w:val="1"/>
          <w:iCs w:val="1"/>
          <w:color w:val="auto"/>
          <w:sz w:val="24"/>
          <w:szCs w:val="24"/>
        </w:rPr>
        <w:t xml:space="preserve">Clarification of any special conditions of the appointment or special duties and obligations for which the candidate’s performance is to be </w:t>
      </w:r>
      <w:r w:rsidRPr="5EAEF742" w:rsidR="003B1B5D">
        <w:rPr>
          <w:rFonts w:ascii="melior" w:hAnsi="melior" w:eastAsia="melior" w:cs="melior"/>
          <w:i w:val="1"/>
          <w:iCs w:val="1"/>
          <w:color w:val="auto"/>
          <w:sz w:val="24"/>
          <w:szCs w:val="24"/>
        </w:rPr>
        <w:t>evaluated</w:t>
      </w:r>
      <w:r w:rsidRPr="5EAEF742" w:rsidR="003B1B5D">
        <w:rPr>
          <w:rFonts w:ascii="melior" w:hAnsi="melior" w:eastAsia="melior" w:cs="melior"/>
          <w:i w:val="1"/>
          <w:iCs w:val="1"/>
          <w:color w:val="auto"/>
          <w:sz w:val="24"/>
          <w:szCs w:val="24"/>
        </w:rPr>
        <w:t> </w:t>
      </w:r>
    </w:p>
    <w:p w:rsidRPr="00554765" w:rsidR="003B1B5D" w:rsidP="5EAEF742" w:rsidRDefault="003B1B5D" w14:paraId="118D7E6E" w14:textId="77777777">
      <w:pPr>
        <w:numPr>
          <w:ilvl w:val="0"/>
          <w:numId w:val="8"/>
        </w:numPr>
        <w:spacing w:before="100" w:beforeAutospacing="on" w:after="100" w:afterAutospacing="on" w:line="240" w:lineRule="auto"/>
        <w:rPr>
          <w:rFonts w:ascii="melior" w:hAnsi="melior" w:eastAsia="melior" w:cs="melior"/>
          <w:i w:val="1"/>
          <w:iCs w:val="1"/>
          <w:color w:val="auto" w:themeColor="accent5" w:themeTint="FF" w:themeShade="FF"/>
          <w:sz w:val="24"/>
          <w:szCs w:val="24"/>
        </w:rPr>
      </w:pPr>
      <w:r w:rsidRPr="5EAEF742" w:rsidR="003B1B5D">
        <w:rPr>
          <w:rFonts w:ascii="melior" w:hAnsi="melior" w:eastAsia="melior" w:cs="melior"/>
          <w:i w:val="1"/>
          <w:iCs w:val="1"/>
          <w:color w:val="auto"/>
          <w:sz w:val="24"/>
          <w:szCs w:val="24"/>
        </w:rPr>
        <w:t xml:space="preserve">An explanation of who in the unit was eligible to vote on the </w:t>
      </w:r>
      <w:r w:rsidRPr="5EAEF742" w:rsidR="003B1B5D">
        <w:rPr>
          <w:rFonts w:ascii="melior" w:hAnsi="melior" w:eastAsia="melior" w:cs="melior"/>
          <w:i w:val="1"/>
          <w:iCs w:val="1"/>
          <w:color w:val="auto"/>
          <w:sz w:val="24"/>
          <w:szCs w:val="24"/>
        </w:rPr>
        <w:t>candidate</w:t>
      </w:r>
      <w:r w:rsidRPr="5EAEF742" w:rsidR="003B1B5D">
        <w:rPr>
          <w:rFonts w:ascii="melior" w:hAnsi="melior" w:eastAsia="melior" w:cs="melior"/>
          <w:i w:val="1"/>
          <w:iCs w:val="1"/>
          <w:color w:val="auto"/>
          <w:sz w:val="24"/>
          <w:szCs w:val="24"/>
        </w:rPr>
        <w:t> </w:t>
      </w:r>
    </w:p>
    <w:p w:rsidRPr="00554765" w:rsidR="003B1B5D" w:rsidP="5EAEF742" w:rsidRDefault="003B1B5D" w14:paraId="7C380000" w14:textId="77777777">
      <w:pPr>
        <w:numPr>
          <w:ilvl w:val="0"/>
          <w:numId w:val="8"/>
        </w:numPr>
        <w:spacing w:before="100" w:beforeAutospacing="on" w:after="100" w:afterAutospacing="on" w:line="240" w:lineRule="auto"/>
        <w:rPr>
          <w:rFonts w:ascii="melior" w:hAnsi="melior" w:eastAsia="melior" w:cs="melior"/>
          <w:i w:val="1"/>
          <w:iCs w:val="1"/>
          <w:color w:val="auto" w:themeColor="accent5" w:themeTint="FF" w:themeShade="FF"/>
          <w:sz w:val="24"/>
          <w:szCs w:val="24"/>
        </w:rPr>
      </w:pPr>
      <w:r w:rsidRPr="5EAEF742" w:rsidR="003B1B5D">
        <w:rPr>
          <w:rFonts w:ascii="melior" w:hAnsi="melior" w:eastAsia="melior" w:cs="melior"/>
          <w:i w:val="1"/>
          <w:iCs w:val="1"/>
          <w:color w:val="auto"/>
          <w:sz w:val="24"/>
          <w:szCs w:val="24"/>
        </w:rPr>
        <w:t>A summary of any formal faculty discussion preceding the official vote </w:t>
      </w:r>
    </w:p>
    <w:p w:rsidRPr="00554765" w:rsidR="003B1B5D" w:rsidP="5EAEF742" w:rsidRDefault="003B1B5D" w14:paraId="0B64E921" w14:textId="41205169">
      <w:pPr>
        <w:numPr>
          <w:ilvl w:val="0"/>
          <w:numId w:val="8"/>
        </w:numPr>
        <w:spacing w:before="100" w:beforeAutospacing="on" w:after="100" w:afterAutospacing="on" w:line="240" w:lineRule="auto"/>
        <w:rPr>
          <w:rFonts w:ascii="melior" w:hAnsi="melior" w:eastAsia="melior" w:cs="melior"/>
          <w:i w:val="1"/>
          <w:iCs w:val="1"/>
          <w:color w:val="auto" w:themeColor="accent5" w:themeTint="FF" w:themeShade="FF"/>
          <w:sz w:val="24"/>
          <w:szCs w:val="24"/>
        </w:rPr>
      </w:pPr>
      <w:r w:rsidRPr="5EAEF742" w:rsidR="003B1B5D">
        <w:rPr>
          <w:rFonts w:ascii="melior" w:hAnsi="melior" w:eastAsia="melior" w:cs="melior"/>
          <w:i w:val="1"/>
          <w:iCs w:val="1"/>
          <w:color w:val="auto"/>
          <w:sz w:val="24"/>
          <w:szCs w:val="24"/>
        </w:rPr>
        <w:t>An explanation for any abstentions</w:t>
      </w:r>
      <w:r w:rsidRPr="5EAEF742" w:rsidR="004B2BF2">
        <w:rPr>
          <w:rFonts w:ascii="melior" w:hAnsi="melior" w:eastAsia="melior" w:cs="melior"/>
          <w:i w:val="1"/>
          <w:iCs w:val="1"/>
          <w:color w:val="auto"/>
          <w:sz w:val="24"/>
          <w:szCs w:val="24"/>
        </w:rPr>
        <w:t>, recusals, and for the absence of votes from any faculty. Explain</w:t>
      </w:r>
      <w:r w:rsidRPr="5EAEF742" w:rsidR="003B1B5D">
        <w:rPr>
          <w:rFonts w:ascii="melior" w:hAnsi="melior" w:eastAsia="melior" w:cs="melior"/>
          <w:i w:val="1"/>
          <w:iCs w:val="1"/>
          <w:color w:val="auto"/>
          <w:sz w:val="24"/>
          <w:szCs w:val="24"/>
        </w:rPr>
        <w:t xml:space="preserve"> reasons why some faculty may not have </w:t>
      </w:r>
      <w:r w:rsidRPr="5EAEF742" w:rsidR="003B1B5D">
        <w:rPr>
          <w:rFonts w:ascii="melior" w:hAnsi="melior" w:eastAsia="melior" w:cs="melior"/>
          <w:i w:val="1"/>
          <w:iCs w:val="1"/>
          <w:color w:val="auto"/>
          <w:sz w:val="24"/>
          <w:szCs w:val="24"/>
        </w:rPr>
        <w:t>participated</w:t>
      </w:r>
      <w:r w:rsidRPr="5EAEF742" w:rsidR="003B1B5D">
        <w:rPr>
          <w:rFonts w:ascii="melior" w:hAnsi="melior" w:eastAsia="melior" w:cs="melior"/>
          <w:i w:val="1"/>
          <w:iCs w:val="1"/>
          <w:color w:val="auto"/>
          <w:sz w:val="24"/>
          <w:szCs w:val="24"/>
        </w:rPr>
        <w:t xml:space="preserve"> in the review and voting process (</w:t>
      </w:r>
      <w:r w:rsidRPr="5EAEF742" w:rsidR="003B1B5D">
        <w:rPr>
          <w:rFonts w:ascii="melior" w:hAnsi="melior" w:eastAsia="melior" w:cs="melior"/>
          <w:i w:val="1"/>
          <w:iCs w:val="1"/>
          <w:color w:val="auto"/>
          <w:sz w:val="24"/>
          <w:szCs w:val="24"/>
        </w:rPr>
        <w:t>e.g.</w:t>
      </w:r>
      <w:r w:rsidRPr="5EAEF742" w:rsidR="003B1B5D">
        <w:rPr>
          <w:rFonts w:ascii="melior" w:hAnsi="melior" w:eastAsia="melior" w:cs="melior"/>
          <w:i w:val="1"/>
          <w:iCs w:val="1"/>
          <w:color w:val="auto"/>
          <w:sz w:val="24"/>
          <w:szCs w:val="24"/>
        </w:rPr>
        <w:t xml:space="preserve"> spouse, sabbatical leave, etc.)</w:t>
      </w:r>
      <w:r w:rsidRPr="5EAEF742" w:rsidR="004B2BF2">
        <w:rPr>
          <w:rFonts w:ascii="melior" w:hAnsi="melior" w:eastAsia="melior" w:cs="melior"/>
          <w:i w:val="1"/>
          <w:iCs w:val="1"/>
          <w:color w:val="auto"/>
          <w:sz w:val="24"/>
          <w:szCs w:val="24"/>
        </w:rPr>
        <w:t xml:space="preserve">. </w:t>
      </w:r>
      <w:r w:rsidRPr="5EAEF742" w:rsidR="004B2BF2">
        <w:rPr>
          <w:rFonts w:ascii="melior" w:hAnsi="melior" w:eastAsia="melior" w:cs="melior"/>
          <w:i w:val="1"/>
          <w:iCs w:val="1"/>
          <w:color w:val="auto"/>
          <w:sz w:val="24"/>
          <w:szCs w:val="24"/>
        </w:rPr>
        <w:t xml:space="preserve">Explain any unusual features of the departmental vote: </w:t>
      </w:r>
    </w:p>
    <w:p w:rsidRPr="00554765" w:rsidR="003B1B5D" w:rsidP="5EAEF742" w:rsidRDefault="003B1B5D" w14:paraId="39504478" w14:textId="77777777">
      <w:pPr>
        <w:numPr>
          <w:ilvl w:val="0"/>
          <w:numId w:val="8"/>
        </w:numPr>
        <w:spacing w:before="100" w:beforeAutospacing="on" w:after="100" w:afterAutospacing="on" w:line="240" w:lineRule="auto"/>
        <w:rPr>
          <w:rFonts w:ascii="melior" w:hAnsi="melior" w:eastAsia="melior" w:cs="melior"/>
          <w:i w:val="1"/>
          <w:iCs w:val="1"/>
          <w:color w:val="auto" w:themeColor="accent5" w:themeTint="FF" w:themeShade="FF"/>
          <w:sz w:val="24"/>
          <w:szCs w:val="24"/>
        </w:rPr>
      </w:pPr>
      <w:r w:rsidRPr="5EAEF742" w:rsidR="003B1B5D">
        <w:rPr>
          <w:rFonts w:ascii="melior" w:hAnsi="melior" w:eastAsia="melior" w:cs="melior"/>
          <w:i w:val="1"/>
          <w:iCs w:val="1"/>
          <w:color w:val="auto"/>
          <w:sz w:val="24"/>
          <w:szCs w:val="24"/>
        </w:rPr>
        <w:t>Votes at the department level on tenure cases must be by signed and secret ballot, with only the tally revealed to the voting faculty and recorded on the Voting Summary.  </w:t>
      </w:r>
    </w:p>
    <w:p w:rsidRPr="00871851" w:rsidR="00871851" w:rsidP="647AC4B8" w:rsidRDefault="00871851" w14:paraId="03BCC18F" w14:textId="76FB3734">
      <w:pPr>
        <w:pStyle w:val="Heading1"/>
        <w:spacing w:after="120" w:afterAutospacing="off"/>
        <w:rPr>
          <w:rFonts w:ascii="melior" w:hAnsi="melior" w:eastAsia="melior" w:cs="melior"/>
          <w:color w:val="auto"/>
          <w:sz w:val="24"/>
          <w:szCs w:val="24"/>
          <w:u w:val="single"/>
        </w:rPr>
      </w:pPr>
      <w:r w:rsidRPr="647AC4B8" w:rsidR="00871851">
        <w:rPr>
          <w:rFonts w:ascii="melior" w:hAnsi="melior" w:eastAsia="melior" w:cs="melior"/>
          <w:color w:val="auto"/>
          <w:sz w:val="24"/>
          <w:szCs w:val="24"/>
          <w:u w:val="single"/>
        </w:rPr>
        <w:t xml:space="preserve">Department Head’s </w:t>
      </w:r>
      <w:r w:rsidRPr="647AC4B8" w:rsidR="41776C0A">
        <w:rPr>
          <w:rFonts w:ascii="melior" w:hAnsi="melior" w:eastAsia="melior" w:cs="melior"/>
          <w:color w:val="auto"/>
          <w:sz w:val="24"/>
          <w:szCs w:val="24"/>
          <w:u w:val="single"/>
        </w:rPr>
        <w:t>I</w:t>
      </w:r>
      <w:r w:rsidRPr="647AC4B8" w:rsidR="00871851">
        <w:rPr>
          <w:rFonts w:ascii="melior" w:hAnsi="melior" w:eastAsia="melior" w:cs="melior"/>
          <w:color w:val="auto"/>
          <w:sz w:val="24"/>
          <w:szCs w:val="24"/>
          <w:u w:val="single"/>
        </w:rPr>
        <w:t xml:space="preserve">ndependent </w:t>
      </w:r>
      <w:r w:rsidRPr="647AC4B8" w:rsidR="6393CF39">
        <w:rPr>
          <w:rFonts w:ascii="melior" w:hAnsi="melior" w:eastAsia="melior" w:cs="melior"/>
          <w:color w:val="auto"/>
          <w:sz w:val="24"/>
          <w:szCs w:val="24"/>
          <w:u w:val="single"/>
        </w:rPr>
        <w:t>E</w:t>
      </w:r>
      <w:r w:rsidRPr="647AC4B8" w:rsidR="00871851">
        <w:rPr>
          <w:rFonts w:ascii="melior" w:hAnsi="melior" w:eastAsia="melior" w:cs="melior"/>
          <w:color w:val="auto"/>
          <w:sz w:val="24"/>
          <w:szCs w:val="24"/>
          <w:u w:val="single"/>
        </w:rPr>
        <w:t xml:space="preserve">valuation and </w:t>
      </w:r>
      <w:r w:rsidRPr="647AC4B8" w:rsidR="11782FBA">
        <w:rPr>
          <w:rFonts w:ascii="melior" w:hAnsi="melior" w:eastAsia="melior" w:cs="melior"/>
          <w:color w:val="auto"/>
          <w:sz w:val="24"/>
          <w:szCs w:val="24"/>
          <w:u w:val="single"/>
        </w:rPr>
        <w:t>R</w:t>
      </w:r>
      <w:r w:rsidRPr="647AC4B8" w:rsidR="00871851">
        <w:rPr>
          <w:rFonts w:ascii="melior" w:hAnsi="melior" w:eastAsia="melior" w:cs="melior"/>
          <w:color w:val="auto"/>
          <w:sz w:val="24"/>
          <w:szCs w:val="24"/>
          <w:u w:val="single"/>
        </w:rPr>
        <w:t>ecommendation</w:t>
      </w:r>
    </w:p>
    <w:p w:rsidRPr="00871851" w:rsidR="00871851" w:rsidP="5EAEF742" w:rsidRDefault="00871851" w14:paraId="10D21E24" w14:textId="4662E2BA">
      <w:pPr>
        <w:rPr>
          <w:rFonts w:ascii="melior" w:hAnsi="melior" w:eastAsia="melior" w:cs="melior"/>
          <w:b w:val="1"/>
          <w:bCs w:val="1"/>
          <w:i w:val="1"/>
          <w:iCs w:val="1"/>
          <w:color w:val="auto" w:themeColor="accent5" w:themeTint="FF" w:themeShade="FF"/>
          <w:sz w:val="24"/>
          <w:szCs w:val="24"/>
        </w:rPr>
      </w:pPr>
      <w:r w:rsidRPr="5EAEF742" w:rsidR="00871851">
        <w:rPr>
          <w:rFonts w:ascii="melior" w:hAnsi="melior" w:eastAsia="melior" w:cs="melior"/>
          <w:i w:val="1"/>
          <w:iCs w:val="1"/>
          <w:color w:val="auto"/>
          <w:sz w:val="24"/>
          <w:szCs w:val="24"/>
        </w:rPr>
        <w:t>The department head should objectively and honestly discuss the strengths and weaknesses of the candidate. The review should include analysis, not advocacy. </w:t>
      </w:r>
      <w:r w:rsidRPr="5EAEF742" w:rsidR="004B2BF2">
        <w:rPr>
          <w:rFonts w:ascii="melior" w:hAnsi="melior" w:eastAsia="melior" w:cs="melior"/>
          <w:i w:val="1"/>
          <w:iCs w:val="1"/>
          <w:color w:val="auto"/>
          <w:sz w:val="24"/>
          <w:szCs w:val="24"/>
        </w:rPr>
        <w:t xml:space="preserve">Your evaluation of the case will be discounted by </w:t>
      </w:r>
      <w:r w:rsidRPr="5EAEF742" w:rsidR="004B2BF2">
        <w:rPr>
          <w:rFonts w:ascii="melior" w:hAnsi="melior" w:eastAsia="melior" w:cs="melior"/>
          <w:i w:val="1"/>
          <w:iCs w:val="1"/>
          <w:color w:val="auto"/>
          <w:sz w:val="24"/>
          <w:szCs w:val="24"/>
        </w:rPr>
        <w:t>subsequent</w:t>
      </w:r>
      <w:r w:rsidRPr="5EAEF742" w:rsidR="004B2BF2">
        <w:rPr>
          <w:rFonts w:ascii="melior" w:hAnsi="melior" w:eastAsia="melior" w:cs="melior"/>
          <w:i w:val="1"/>
          <w:iCs w:val="1"/>
          <w:color w:val="auto"/>
          <w:sz w:val="24"/>
          <w:szCs w:val="24"/>
        </w:rPr>
        <w:t xml:space="preserve"> levels of review if it </w:t>
      </w:r>
      <w:r w:rsidRPr="5EAEF742" w:rsidR="004B2BF2">
        <w:rPr>
          <w:rFonts w:ascii="melior" w:hAnsi="melior" w:eastAsia="melior" w:cs="melior"/>
          <w:i w:val="1"/>
          <w:iCs w:val="1"/>
          <w:color w:val="auto"/>
          <w:sz w:val="24"/>
          <w:szCs w:val="24"/>
        </w:rPr>
        <w:t>appears to be</w:t>
      </w:r>
      <w:r w:rsidRPr="5EAEF742" w:rsidR="004B2BF2">
        <w:rPr>
          <w:rFonts w:ascii="melior" w:hAnsi="melior" w:eastAsia="melior" w:cs="melior"/>
          <w:i w:val="1"/>
          <w:iCs w:val="1"/>
          <w:color w:val="auto"/>
          <w:sz w:val="24"/>
          <w:szCs w:val="24"/>
        </w:rPr>
        <w:t xml:space="preserve"> advocacy for the candidate rather than an objective evaluation.</w:t>
      </w:r>
    </w:p>
    <w:p w:rsidRPr="009239CA" w:rsidR="009239CA" w:rsidP="647AC4B8" w:rsidRDefault="00871851" w14:paraId="225CE325" w14:textId="3CDBFEA6">
      <w:pPr>
        <w:pStyle w:val="Heading2"/>
        <w:spacing w:after="120"/>
        <w:rPr>
          <w:rFonts w:ascii="melior" w:hAnsi="melior" w:eastAsia="melior" w:cs="melior"/>
          <w:b w:val="1"/>
          <w:bCs w:val="1"/>
          <w:color w:val="auto"/>
          <w:sz w:val="24"/>
          <w:szCs w:val="24"/>
          <w:u w:val="single"/>
        </w:rPr>
      </w:pPr>
      <w:r w:rsidRPr="647AC4B8" w:rsidR="00871851">
        <w:rPr>
          <w:rFonts w:ascii="melior" w:hAnsi="melior" w:eastAsia="melior" w:cs="melior"/>
          <w:color w:val="auto"/>
          <w:sz w:val="24"/>
          <w:szCs w:val="24"/>
          <w:u w:val="single"/>
        </w:rPr>
        <w:t>A</w:t>
      </w:r>
      <w:r w:rsidRPr="647AC4B8" w:rsidR="00EE0EA4">
        <w:rPr>
          <w:rFonts w:ascii="melior" w:hAnsi="melior" w:eastAsia="melior" w:cs="melior"/>
          <w:color w:val="auto"/>
          <w:sz w:val="24"/>
          <w:szCs w:val="24"/>
          <w:u w:val="single"/>
        </w:rPr>
        <w:t>ssess</w:t>
      </w:r>
      <w:r w:rsidRPr="647AC4B8" w:rsidR="000D08CA">
        <w:rPr>
          <w:rFonts w:ascii="melior" w:hAnsi="melior" w:eastAsia="melior" w:cs="melior"/>
          <w:color w:val="auto"/>
          <w:sz w:val="24"/>
          <w:szCs w:val="24"/>
          <w:u w:val="single"/>
        </w:rPr>
        <w:t xml:space="preserve"> </w:t>
      </w:r>
      <w:r w:rsidRPr="647AC4B8" w:rsidR="433D7DFD">
        <w:rPr>
          <w:rFonts w:ascii="melior" w:hAnsi="melior" w:eastAsia="melior" w:cs="melior"/>
          <w:color w:val="auto"/>
          <w:sz w:val="24"/>
          <w:szCs w:val="24"/>
          <w:u w:val="single"/>
        </w:rPr>
        <w:t>C</w:t>
      </w:r>
      <w:r w:rsidRPr="647AC4B8" w:rsidR="000D08CA">
        <w:rPr>
          <w:rFonts w:ascii="melior" w:hAnsi="melior" w:eastAsia="melior" w:cs="melior"/>
          <w:color w:val="auto"/>
          <w:sz w:val="24"/>
          <w:szCs w:val="24"/>
          <w:u w:val="single"/>
        </w:rPr>
        <w:t xml:space="preserve">andidate’s </w:t>
      </w:r>
      <w:r w:rsidRPr="647AC4B8" w:rsidR="1327FE77">
        <w:rPr>
          <w:rFonts w:ascii="melior" w:hAnsi="melior" w:eastAsia="melior" w:cs="melior"/>
          <w:color w:val="auto"/>
          <w:sz w:val="24"/>
          <w:szCs w:val="24"/>
          <w:u w:val="single"/>
        </w:rPr>
        <w:t>R</w:t>
      </w:r>
      <w:r w:rsidRPr="647AC4B8" w:rsidR="000D08CA">
        <w:rPr>
          <w:rFonts w:ascii="melior" w:hAnsi="melior" w:eastAsia="melior" w:cs="melior"/>
          <w:color w:val="auto"/>
          <w:sz w:val="24"/>
          <w:szCs w:val="24"/>
          <w:u w:val="single"/>
        </w:rPr>
        <w:t xml:space="preserve">esearch and </w:t>
      </w:r>
      <w:r w:rsidRPr="647AC4B8" w:rsidR="0D63A979">
        <w:rPr>
          <w:rFonts w:ascii="melior" w:hAnsi="melior" w:eastAsia="melior" w:cs="melior"/>
          <w:color w:val="auto"/>
          <w:sz w:val="24"/>
          <w:szCs w:val="24"/>
          <w:u w:val="single"/>
        </w:rPr>
        <w:t>S</w:t>
      </w:r>
      <w:r w:rsidRPr="647AC4B8" w:rsidR="000D08CA">
        <w:rPr>
          <w:rFonts w:ascii="melior" w:hAnsi="melior" w:eastAsia="melior" w:cs="melior"/>
          <w:color w:val="auto"/>
          <w:sz w:val="24"/>
          <w:szCs w:val="24"/>
          <w:u w:val="single"/>
        </w:rPr>
        <w:t>cholarship</w:t>
      </w:r>
      <w:r w:rsidRPr="647AC4B8" w:rsidR="50A5CA51">
        <w:rPr>
          <w:rFonts w:ascii="melior" w:hAnsi="melior" w:eastAsia="melior" w:cs="melior"/>
          <w:b w:val="1"/>
          <w:bCs w:val="1"/>
          <w:color w:val="auto"/>
          <w:sz w:val="24"/>
          <w:szCs w:val="24"/>
          <w:u w:val="single"/>
        </w:rPr>
        <w:t xml:space="preserve"> </w:t>
      </w:r>
      <w:r w:rsidRPr="647AC4B8" w:rsidR="50A5CA51">
        <w:rPr>
          <w:rFonts w:ascii="melior" w:hAnsi="melior" w:eastAsia="melior" w:cs="melior"/>
          <w:b w:val="1"/>
          <w:bCs w:val="1"/>
          <w:noProof w:val="0"/>
          <w:color w:val="auto"/>
          <w:sz w:val="24"/>
          <w:szCs w:val="24"/>
          <w:u w:val="single"/>
          <w:lang w:val="en-US"/>
        </w:rPr>
        <w:t xml:space="preserve">and/or </w:t>
      </w:r>
      <w:r w:rsidRPr="647AC4B8" w:rsidR="32730BAF">
        <w:rPr>
          <w:rFonts w:ascii="melior" w:hAnsi="melior" w:eastAsia="melior" w:cs="melior"/>
          <w:b w:val="1"/>
          <w:bCs w:val="1"/>
          <w:noProof w:val="0"/>
          <w:color w:val="auto"/>
          <w:sz w:val="24"/>
          <w:szCs w:val="24"/>
          <w:u w:val="single"/>
          <w:lang w:val="en-US"/>
        </w:rPr>
        <w:t>C</w:t>
      </w:r>
      <w:r w:rsidRPr="647AC4B8" w:rsidR="50A5CA51">
        <w:rPr>
          <w:rFonts w:ascii="melior" w:hAnsi="melior" w:eastAsia="melior" w:cs="melior"/>
          <w:b w:val="1"/>
          <w:bCs w:val="1"/>
          <w:noProof w:val="0"/>
          <w:color w:val="auto"/>
          <w:sz w:val="24"/>
          <w:szCs w:val="24"/>
          <w:u w:val="single"/>
          <w:lang w:val="en-US"/>
        </w:rPr>
        <w:t xml:space="preserve">reative and </w:t>
      </w:r>
      <w:r w:rsidRPr="647AC4B8" w:rsidR="676C7FC9">
        <w:rPr>
          <w:rFonts w:ascii="melior" w:hAnsi="melior" w:eastAsia="melior" w:cs="melior"/>
          <w:b w:val="1"/>
          <w:bCs w:val="1"/>
          <w:noProof w:val="0"/>
          <w:color w:val="auto"/>
          <w:sz w:val="24"/>
          <w:szCs w:val="24"/>
          <w:u w:val="single"/>
          <w:lang w:val="en-US"/>
        </w:rPr>
        <w:t>A</w:t>
      </w:r>
      <w:r w:rsidRPr="647AC4B8" w:rsidR="50A5CA51">
        <w:rPr>
          <w:rFonts w:ascii="melior" w:hAnsi="melior" w:eastAsia="melior" w:cs="melior"/>
          <w:b w:val="1"/>
          <w:bCs w:val="1"/>
          <w:noProof w:val="0"/>
          <w:color w:val="auto"/>
          <w:sz w:val="24"/>
          <w:szCs w:val="24"/>
          <w:u w:val="single"/>
          <w:lang w:val="en-US"/>
        </w:rPr>
        <w:t xml:space="preserve">rtistic </w:t>
      </w:r>
      <w:r w:rsidRPr="647AC4B8" w:rsidR="19798B5B">
        <w:rPr>
          <w:rFonts w:ascii="melior" w:hAnsi="melior" w:eastAsia="melior" w:cs="melior"/>
          <w:b w:val="1"/>
          <w:bCs w:val="1"/>
          <w:noProof w:val="0"/>
          <w:color w:val="auto"/>
          <w:sz w:val="24"/>
          <w:szCs w:val="24"/>
          <w:u w:val="single"/>
          <w:lang w:val="en-US"/>
        </w:rPr>
        <w:t>A</w:t>
      </w:r>
      <w:r w:rsidRPr="647AC4B8" w:rsidR="50A5CA51">
        <w:rPr>
          <w:rFonts w:ascii="melior" w:hAnsi="melior" w:eastAsia="melior" w:cs="melior"/>
          <w:b w:val="1"/>
          <w:bCs w:val="1"/>
          <w:noProof w:val="0"/>
          <w:color w:val="auto"/>
          <w:sz w:val="24"/>
          <w:szCs w:val="24"/>
          <w:u w:val="single"/>
          <w:lang w:val="en-US"/>
        </w:rPr>
        <w:t>chievement</w:t>
      </w:r>
    </w:p>
    <w:p w:rsidR="008A61A2" w:rsidP="5EAEF742" w:rsidRDefault="008A61A2" w14:paraId="25E1D5DC" w14:textId="5C45EB45">
      <w:pPr>
        <w:spacing w:after="0" w:line="240" w:lineRule="auto"/>
        <w:rPr>
          <w:rFonts w:ascii="melior" w:hAnsi="melior" w:eastAsia="melior" w:cs="melior"/>
          <w:i w:val="1"/>
          <w:iCs w:val="1"/>
          <w:color w:val="auto" w:themeColor="accent5" w:themeTint="FF" w:themeShade="FF"/>
          <w:sz w:val="24"/>
          <w:szCs w:val="24"/>
        </w:rPr>
      </w:pPr>
      <w:r w:rsidRPr="5EAEF742" w:rsidR="008A61A2">
        <w:rPr>
          <w:rFonts w:ascii="melior" w:hAnsi="melior" w:eastAsia="melior" w:cs="melior"/>
          <w:i w:val="1"/>
          <w:iCs w:val="1"/>
          <w:color w:val="auto"/>
          <w:sz w:val="24"/>
          <w:szCs w:val="24"/>
        </w:rPr>
        <w:t xml:space="preserve">In addition to conveying the department’s assessment of the case, the head’s report should do the following to </w:t>
      </w:r>
      <w:r w:rsidRPr="5EAEF742" w:rsidR="008A61A2">
        <w:rPr>
          <w:rFonts w:ascii="melior" w:hAnsi="melior" w:eastAsia="melior" w:cs="melior"/>
          <w:i w:val="1"/>
          <w:iCs w:val="1"/>
          <w:color w:val="auto"/>
          <w:sz w:val="24"/>
          <w:szCs w:val="24"/>
        </w:rPr>
        <w:t>facilitate</w:t>
      </w:r>
      <w:r w:rsidRPr="5EAEF742" w:rsidR="008A61A2">
        <w:rPr>
          <w:rFonts w:ascii="melior" w:hAnsi="melior" w:eastAsia="melior" w:cs="melior"/>
          <w:i w:val="1"/>
          <w:iCs w:val="1"/>
          <w:color w:val="auto"/>
          <w:sz w:val="24"/>
          <w:szCs w:val="24"/>
        </w:rPr>
        <w:t xml:space="preserve"> the next review steps, which are by colleagues increasingly distant from the candidate’s academic specialty</w:t>
      </w:r>
      <w:r w:rsidRPr="5EAEF742" w:rsidR="008A61A2">
        <w:rPr>
          <w:rFonts w:ascii="melior" w:hAnsi="melior" w:eastAsia="melior" w:cs="melior"/>
          <w:i w:val="1"/>
          <w:iCs w:val="1"/>
          <w:color w:val="auto"/>
          <w:sz w:val="24"/>
          <w:szCs w:val="24"/>
        </w:rPr>
        <w:t>:</w:t>
      </w:r>
    </w:p>
    <w:p w:rsidRPr="008A61A2" w:rsidR="008A61A2" w:rsidP="5EAEF742" w:rsidRDefault="008A61A2" w14:paraId="2C85A550" w14:textId="77777777">
      <w:pPr>
        <w:spacing w:after="0" w:line="240" w:lineRule="auto"/>
        <w:rPr>
          <w:rFonts w:ascii="melior" w:hAnsi="melior" w:eastAsia="melior" w:cs="melior"/>
          <w:i w:val="1"/>
          <w:iCs w:val="1"/>
          <w:color w:val="auto" w:themeColor="accent5" w:themeTint="FF" w:themeShade="FF"/>
          <w:sz w:val="24"/>
          <w:szCs w:val="24"/>
        </w:rPr>
      </w:pPr>
    </w:p>
    <w:p w:rsidRPr="00554765" w:rsidR="004B2BF2" w:rsidP="5EAEF742" w:rsidRDefault="004B2BF2" w14:paraId="089054CB" w14:textId="77777777">
      <w:pPr>
        <w:pStyle w:val="NormalWeb"/>
        <w:numPr>
          <w:ilvl w:val="0"/>
          <w:numId w:val="7"/>
        </w:numPr>
        <w:spacing w:before="0" w:beforeAutospacing="off" w:after="0" w:afterAutospacing="off"/>
        <w:ind w:left="72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Explain multiple-authorship conventions: In those disciplines in which co-authorship of research is common, it is essential that the candidate’s statement, as well as department heads and promotion committee reports, explain how the list of names translates to contributions</w:t>
      </w:r>
      <w:r w:rsidRPr="5EAEF742" w:rsidR="004B2BF2">
        <w:rPr>
          <w:rFonts w:ascii="melior" w:hAnsi="melior" w:eastAsia="melior" w:cs="melior"/>
          <w:i w:val="1"/>
          <w:iCs w:val="1"/>
          <w:color w:val="auto"/>
          <w:sz w:val="24"/>
          <w:szCs w:val="24"/>
        </w:rPr>
        <w:t xml:space="preserve">.  </w:t>
      </w:r>
      <w:r w:rsidRPr="5EAEF742" w:rsidR="004B2BF2">
        <w:rPr>
          <w:rFonts w:ascii="melior" w:hAnsi="melior" w:eastAsia="melior" w:cs="melior"/>
          <w:i w:val="1"/>
          <w:iCs w:val="1"/>
          <w:color w:val="auto"/>
          <w:sz w:val="24"/>
          <w:szCs w:val="24"/>
        </w:rPr>
        <w:t xml:space="preserve">This includes, as </w:t>
      </w:r>
      <w:r w:rsidRPr="5EAEF742" w:rsidR="004B2BF2">
        <w:rPr>
          <w:rFonts w:ascii="melior" w:hAnsi="melior" w:eastAsia="melior" w:cs="melior"/>
          <w:i w:val="1"/>
          <w:iCs w:val="1"/>
          <w:color w:val="auto"/>
          <w:sz w:val="24"/>
          <w:szCs w:val="24"/>
        </w:rPr>
        <w:t>appropriate</w:t>
      </w:r>
      <w:r w:rsidRPr="5EAEF742" w:rsidR="004B2BF2">
        <w:rPr>
          <w:rFonts w:ascii="melior" w:hAnsi="melior" w:eastAsia="melior" w:cs="melior"/>
          <w:i w:val="1"/>
          <w:iCs w:val="1"/>
          <w:color w:val="auto"/>
          <w:sz w:val="24"/>
          <w:szCs w:val="24"/>
        </w:rPr>
        <w:t>:</w:t>
      </w:r>
    </w:p>
    <w:p w:rsidRPr="00554765" w:rsidR="004B2BF2" w:rsidP="5EAEF742" w:rsidRDefault="004B2BF2" w14:paraId="2411B0F0" w14:textId="77777777">
      <w:pPr>
        <w:pStyle w:val="NormalWeb"/>
        <w:numPr>
          <w:ilvl w:val="0"/>
          <w:numId w:val="6"/>
        </w:numPr>
        <w:spacing w:before="0" w:beforeAutospacing="off" w:after="0" w:afterAutospacing="off"/>
        <w:ind w:left="108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the kinds of contributions that individual authors have made (e.g., overall intellectual leadership of a big project vs design and execution of a particular part of it by a colleague or student)</w:t>
      </w:r>
    </w:p>
    <w:p w:rsidRPr="00554765" w:rsidR="004B2BF2" w:rsidP="5EAEF742" w:rsidRDefault="004B2BF2" w14:paraId="55BD9BB6" w14:textId="77777777">
      <w:pPr>
        <w:pStyle w:val="NormalWeb"/>
        <w:numPr>
          <w:ilvl w:val="0"/>
          <w:numId w:val="6"/>
        </w:numPr>
        <w:spacing w:before="0" w:beforeAutospacing="off" w:after="0" w:afterAutospacing="off"/>
        <w:ind w:left="108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 xml:space="preserve">the significance of the order in which authors are </w:t>
      </w:r>
      <w:r w:rsidRPr="5EAEF742" w:rsidR="004B2BF2">
        <w:rPr>
          <w:rFonts w:ascii="melior" w:hAnsi="melior" w:eastAsia="melior" w:cs="melior"/>
          <w:i w:val="1"/>
          <w:iCs w:val="1"/>
          <w:color w:val="auto"/>
          <w:sz w:val="24"/>
          <w:szCs w:val="24"/>
        </w:rPr>
        <w:t>listed</w:t>
      </w:r>
    </w:p>
    <w:p w:rsidRPr="00554765" w:rsidR="004B2BF2" w:rsidP="5EAEF742" w:rsidRDefault="004B2BF2" w14:paraId="660B7B9E" w14:textId="77777777">
      <w:pPr>
        <w:pStyle w:val="NormalWeb"/>
        <w:numPr>
          <w:ilvl w:val="0"/>
          <w:numId w:val="6"/>
        </w:numPr>
        <w:spacing w:before="0" w:beforeAutospacing="off" w:after="0" w:afterAutospacing="off"/>
        <w:ind w:left="108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the co-authors’ rank or relationship to the candidate (</w:t>
      </w:r>
      <w:r w:rsidRPr="5EAEF742" w:rsidR="004B2BF2">
        <w:rPr>
          <w:rFonts w:ascii="melior" w:hAnsi="melior" w:eastAsia="melior" w:cs="melior"/>
          <w:i w:val="1"/>
          <w:iCs w:val="1"/>
          <w:color w:val="auto"/>
          <w:sz w:val="24"/>
          <w:szCs w:val="24"/>
        </w:rPr>
        <w:t>e.g.</w:t>
      </w:r>
      <w:r w:rsidRPr="5EAEF742" w:rsidR="004B2BF2">
        <w:rPr>
          <w:rFonts w:ascii="melior" w:hAnsi="melior" w:eastAsia="melior" w:cs="melior"/>
          <w:i w:val="1"/>
          <w:iCs w:val="1"/>
          <w:color w:val="auto"/>
          <w:sz w:val="24"/>
          <w:szCs w:val="24"/>
        </w:rPr>
        <w:t xml:space="preserve"> former advisors/mentors, senior faculty colleagues, junior faculty colleagues, post-doctoral fellows, Ph.D. students, or undergraduate students)</w:t>
      </w:r>
    </w:p>
    <w:p w:rsidRPr="00554765" w:rsidR="004B2BF2" w:rsidP="5EAEF742" w:rsidRDefault="004B2BF2" w14:paraId="440073C2" w14:textId="4FF4FC0F">
      <w:pPr>
        <w:pStyle w:val="NormalWeb"/>
        <w:numPr>
          <w:ilvl w:val="0"/>
          <w:numId w:val="6"/>
        </w:numPr>
        <w:spacing w:before="0" w:beforeAutospacing="off" w:after="0" w:afterAutospacing="off"/>
        <w:ind w:left="108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the frequency of single vs multiple authorship in the candidate’s sub-field and the department’s standards with respect to co-authored work</w:t>
      </w:r>
    </w:p>
    <w:p w:rsidRPr="00554765" w:rsidR="004B2BF2" w:rsidP="5EAEF742" w:rsidRDefault="004B2BF2" w14:paraId="6065C0A7" w14:textId="77777777">
      <w:pPr>
        <w:pStyle w:val="ListParagraph"/>
        <w:numPr>
          <w:ilvl w:val="1"/>
          <w:numId w:val="5"/>
        </w:numPr>
        <w:tabs>
          <w:tab w:val="left" w:pos="2970"/>
        </w:tabs>
        <w:spacing w:after="0" w:line="240" w:lineRule="auto"/>
        <w:ind w:left="72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Put the candidate’s contributions in context:</w:t>
      </w:r>
    </w:p>
    <w:p w:rsidRPr="00554765" w:rsidR="004B2BF2" w:rsidP="5EAEF742" w:rsidRDefault="004B2BF2" w14:paraId="3A9CA514" w14:textId="77777777">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 xml:space="preserve">explain where the research fits into the field and in what way it is </w:t>
      </w:r>
      <w:r w:rsidRPr="5EAEF742" w:rsidR="004B2BF2">
        <w:rPr>
          <w:rFonts w:ascii="melior" w:hAnsi="melior" w:eastAsia="melior" w:cs="melior"/>
          <w:i w:val="1"/>
          <w:iCs w:val="1"/>
          <w:color w:val="auto"/>
          <w:sz w:val="24"/>
          <w:szCs w:val="24"/>
        </w:rPr>
        <w:t>influential</w:t>
      </w:r>
    </w:p>
    <w:p w:rsidRPr="00554765" w:rsidR="004B2BF2" w:rsidP="5EAEF742" w:rsidRDefault="004B2BF2" w14:paraId="2675C503" w14:textId="77777777">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 xml:space="preserve">outline expectations </w:t>
      </w:r>
      <w:r w:rsidRPr="5EAEF742" w:rsidR="004B2BF2">
        <w:rPr>
          <w:rFonts w:ascii="melior" w:hAnsi="melior" w:eastAsia="melior" w:cs="melior"/>
          <w:i w:val="1"/>
          <w:iCs w:val="1"/>
          <w:color w:val="auto"/>
          <w:sz w:val="24"/>
          <w:szCs w:val="24"/>
        </w:rPr>
        <w:t>regarding</w:t>
      </w:r>
      <w:r w:rsidRPr="5EAEF742" w:rsidR="004B2BF2">
        <w:rPr>
          <w:rFonts w:ascii="melior" w:hAnsi="melior" w:eastAsia="melior" w:cs="melior"/>
          <w:i w:val="1"/>
          <w:iCs w:val="1"/>
          <w:color w:val="auto"/>
          <w:sz w:val="24"/>
          <w:szCs w:val="24"/>
        </w:rPr>
        <w:t xml:space="preserve"> external funding for research—both within the field or subfield, and within the candidate’s department)</w:t>
      </w:r>
    </w:p>
    <w:p w:rsidRPr="00554765" w:rsidR="004B2BF2" w:rsidP="5EAEF742" w:rsidRDefault="004B2BF2" w14:paraId="0F13C847" w14:textId="77777777">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provide</w:t>
      </w:r>
      <w:r w:rsidRPr="5EAEF742" w:rsidR="004B2BF2">
        <w:rPr>
          <w:rFonts w:ascii="melior" w:hAnsi="melior" w:eastAsia="melior" w:cs="melior"/>
          <w:i w:val="1"/>
          <w:iCs w:val="1"/>
          <w:color w:val="auto"/>
          <w:sz w:val="24"/>
          <w:szCs w:val="24"/>
        </w:rPr>
        <w:t xml:space="preserve"> standard measures of quality or appropriateness for venues of published work (publishing houses or series for books, journal rankings for articles)</w:t>
      </w:r>
    </w:p>
    <w:p w:rsidRPr="00554765" w:rsidR="004B2BF2" w:rsidP="5EAEF742" w:rsidRDefault="004B2BF2" w14:paraId="04F70A83" w14:textId="77777777">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 xml:space="preserve">describe the standard course load and teaching expectations in the department (including norms for class sizes), the candidate’s contribution to the department’s teaching mission, and any extenuating circumstances that affected the candidate’s teaching record (e.g., teaching assignment policies, special releases </w:t>
      </w:r>
      <w:r w:rsidRPr="5EAEF742" w:rsidR="004B2BF2">
        <w:rPr>
          <w:rFonts w:ascii="melior" w:hAnsi="melior" w:eastAsia="melior" w:cs="melior"/>
          <w:i w:val="1"/>
          <w:iCs w:val="1"/>
          <w:color w:val="auto"/>
          <w:sz w:val="24"/>
          <w:szCs w:val="24"/>
        </w:rPr>
        <w:t>as a result of</w:t>
      </w:r>
      <w:r w:rsidRPr="5EAEF742" w:rsidR="004B2BF2">
        <w:rPr>
          <w:rFonts w:ascii="melior" w:hAnsi="melior" w:eastAsia="melior" w:cs="melior"/>
          <w:i w:val="1"/>
          <w:iCs w:val="1"/>
          <w:color w:val="auto"/>
          <w:sz w:val="24"/>
          <w:szCs w:val="24"/>
        </w:rPr>
        <w:t xml:space="preserve"> research awards, etc.)</w:t>
      </w:r>
    </w:p>
    <w:p w:rsidRPr="00554765" w:rsidR="004B2BF2" w:rsidP="5EAEF742" w:rsidRDefault="004B2BF2" w14:paraId="145AF858" w14:textId="77777777">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 xml:space="preserve">describe the candidate’s contributions to institutional equity and </w:t>
      </w:r>
      <w:r w:rsidRPr="5EAEF742" w:rsidR="004B2BF2">
        <w:rPr>
          <w:rFonts w:ascii="melior" w:hAnsi="melior" w:eastAsia="melior" w:cs="melior"/>
          <w:i w:val="1"/>
          <w:iCs w:val="1"/>
          <w:color w:val="auto"/>
          <w:sz w:val="24"/>
          <w:szCs w:val="24"/>
        </w:rPr>
        <w:t>inclusion</w:t>
      </w:r>
    </w:p>
    <w:p w:rsidRPr="00554765" w:rsidR="004B2BF2" w:rsidP="5EAEF742" w:rsidRDefault="004B2BF2" w14:paraId="00F5F6A7" w14:textId="777777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melior" w:hAnsi="melior" w:eastAsia="melior" w:cs="melior"/>
          <w:i w:val="1"/>
          <w:iCs w:val="1"/>
          <w:color w:val="auto" w:themeColor="accent5" w:themeTint="FF" w:themeShade="FF"/>
          <w:sz w:val="24"/>
          <w:szCs w:val="24"/>
        </w:rPr>
      </w:pPr>
    </w:p>
    <w:p w:rsidRPr="00554765" w:rsidR="004B2BF2" w:rsidP="5EAEF742" w:rsidRDefault="004B2BF2" w14:paraId="77041E5C" w14:textId="77777777">
      <w:pPr>
        <w:pStyle w:val="ListParagraph"/>
        <w:numPr>
          <w:ilvl w:val="1"/>
          <w:numId w:val="5"/>
        </w:numPr>
        <w:tabs>
          <w:tab w:val="left" w:pos="2970"/>
        </w:tabs>
        <w:spacing w:after="0" w:line="240" w:lineRule="auto"/>
        <w:ind w:left="72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Be explicit about the status of unpublished work:</w:t>
      </w:r>
    </w:p>
    <w:p w:rsidRPr="00554765" w:rsidR="004B2BF2" w:rsidP="5EAEF742" w:rsidRDefault="004B2BF2" w14:paraId="740DAA61" w14:textId="77777777">
      <w:pPr>
        <w:pStyle w:val="ListParagraph"/>
        <w:numPr>
          <w:ilvl w:val="2"/>
          <w:numId w:val="5"/>
        </w:numPr>
        <w:tabs>
          <w:tab w:val="left" w:pos="2970"/>
        </w:tabs>
        <w:spacing w:after="0" w:line="240" w:lineRule="auto"/>
        <w:ind w:left="108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 xml:space="preserve">For the UO in general, and for CAS more specifically, an article or book manuscript is properly considered for promotion if, and only if, there is (1) a commitment to publish by a journal or press, reflected in a contract or editor’s letter, a copy of which is included in the file; and (2) the manuscript has been completed and requires no additional revision beyond copy editing; this must be confirmed through the inclusion in the file of a letter from the editor verifying the article’s or book’s status as “in production” or “in press.”  For these reasons, we </w:t>
      </w:r>
      <w:r w:rsidRPr="5EAEF742" w:rsidR="004B2BF2">
        <w:rPr>
          <w:rFonts w:ascii="melior" w:hAnsi="melior" w:eastAsia="melior" w:cs="melior"/>
          <w:i w:val="1"/>
          <w:iCs w:val="1"/>
          <w:color w:val="auto"/>
          <w:sz w:val="24"/>
          <w:szCs w:val="24"/>
        </w:rPr>
        <w:t>request</w:t>
      </w:r>
      <w:r w:rsidRPr="5EAEF742" w:rsidR="004B2BF2">
        <w:rPr>
          <w:rFonts w:ascii="melior" w:hAnsi="melior" w:eastAsia="melior" w:cs="melior"/>
          <w:i w:val="1"/>
          <w:iCs w:val="1"/>
          <w:color w:val="auto"/>
          <w:sz w:val="24"/>
          <w:szCs w:val="24"/>
        </w:rPr>
        <w:t xml:space="preserve"> that the file does not label a work “forthcoming” but rather relies on the more precise terms “in progress,” “in press” or “in production.”</w:t>
      </w:r>
    </w:p>
    <w:p w:rsidRPr="00554765" w:rsidR="004B2BF2" w:rsidP="5EAEF742" w:rsidRDefault="004B2BF2" w14:paraId="4B4E3377" w14:textId="77777777">
      <w:pPr>
        <w:pStyle w:val="ListParagraph"/>
        <w:numPr>
          <w:ilvl w:val="2"/>
          <w:numId w:val="5"/>
        </w:numPr>
        <w:tabs>
          <w:tab w:val="left" w:pos="2970"/>
        </w:tabs>
        <w:spacing w:after="0" w:line="240" w:lineRule="auto"/>
        <w:ind w:left="1080"/>
        <w:rPr>
          <w:rFonts w:ascii="melior" w:hAnsi="melior" w:eastAsia="melior" w:cs="melior"/>
          <w:i w:val="1"/>
          <w:iCs w:val="1"/>
          <w:color w:val="auto" w:themeColor="accent5" w:themeTint="FF" w:themeShade="FF"/>
          <w:sz w:val="24"/>
          <w:szCs w:val="24"/>
        </w:rPr>
      </w:pPr>
      <w:r w:rsidRPr="5EAEF742" w:rsidR="004B2BF2">
        <w:rPr>
          <w:rFonts w:ascii="melior" w:hAnsi="melior" w:eastAsia="melior" w:cs="melior"/>
          <w:i w:val="1"/>
          <w:iCs w:val="1"/>
          <w:color w:val="auto"/>
          <w:sz w:val="24"/>
          <w:szCs w:val="24"/>
        </w:rPr>
        <w:t xml:space="preserve">If a tenure case depends on a book, but the manuscript does not meet </w:t>
      </w:r>
      <w:r w:rsidRPr="5EAEF742" w:rsidR="004B2BF2">
        <w:rPr>
          <w:rFonts w:ascii="melior" w:hAnsi="melior" w:eastAsia="melior" w:cs="melior"/>
          <w:i w:val="1"/>
          <w:iCs w:val="1"/>
          <w:color w:val="auto"/>
          <w:sz w:val="24"/>
          <w:szCs w:val="24"/>
        </w:rPr>
        <w:t>both of these</w:t>
      </w:r>
      <w:r w:rsidRPr="5EAEF742" w:rsidR="004B2BF2">
        <w:rPr>
          <w:rFonts w:ascii="melior" w:hAnsi="melior" w:eastAsia="melior" w:cs="melior"/>
          <w:i w:val="1"/>
          <w:iCs w:val="1"/>
          <w:color w:val="auto"/>
          <w:sz w:val="24"/>
          <w:szCs w:val="24"/>
        </w:rPr>
        <w:t xml:space="preserve"> criteria, the case will likely encounter serious difficulty.</w:t>
      </w:r>
      <w:r w:rsidRPr="5EAEF742" w:rsidR="004B2BF2">
        <w:rPr>
          <w:rFonts w:ascii="melior" w:hAnsi="melior" w:eastAsia="melior" w:cs="melior"/>
          <w:i w:val="1"/>
          <w:iCs w:val="1"/>
          <w:color w:val="auto"/>
          <w:sz w:val="24"/>
          <w:szCs w:val="24"/>
        </w:rPr>
        <w:t xml:space="preserve">  Cases of promotion to full Professor that depend on a book should be delayed if the manuscript does not clearly meet these criteria at the time the file is </w:t>
      </w:r>
      <w:r w:rsidRPr="5EAEF742" w:rsidR="004B2BF2">
        <w:rPr>
          <w:rFonts w:ascii="melior" w:hAnsi="melior" w:eastAsia="melior" w:cs="melior"/>
          <w:i w:val="1"/>
          <w:iCs w:val="1"/>
          <w:color w:val="auto"/>
          <w:sz w:val="24"/>
          <w:szCs w:val="24"/>
        </w:rPr>
        <w:t>submitted</w:t>
      </w:r>
      <w:r w:rsidRPr="5EAEF742" w:rsidR="004B2BF2">
        <w:rPr>
          <w:rFonts w:ascii="melior" w:hAnsi="melior" w:eastAsia="melior" w:cs="melior"/>
          <w:i w:val="1"/>
          <w:iCs w:val="1"/>
          <w:color w:val="auto"/>
          <w:sz w:val="24"/>
          <w:szCs w:val="24"/>
        </w:rPr>
        <w:t>.</w:t>
      </w:r>
    </w:p>
    <w:p w:rsidR="004B2BF2" w:rsidP="3E34B380" w:rsidRDefault="004B2BF2" w14:paraId="44624225" w14:textId="500F167E">
      <w:pPr>
        <w:spacing w:after="0"/>
        <w:rPr>
          <w:rFonts w:ascii="melior" w:hAnsi="melior" w:eastAsia="melior" w:cs="melior"/>
          <w:color w:val="5B9BD5" w:themeColor="accent5" w:themeTint="FF" w:themeShade="FF"/>
          <w:sz w:val="24"/>
          <w:szCs w:val="24"/>
        </w:rPr>
      </w:pPr>
    </w:p>
    <w:p w:rsidRPr="009239CA" w:rsidR="009239CA" w:rsidP="647AC4B8" w:rsidRDefault="00871851" w14:paraId="54D21841" w14:textId="6EC70DE3">
      <w:pPr>
        <w:pStyle w:val="Heading2"/>
        <w:spacing w:after="120" w:afterAutospacing="off"/>
        <w:rPr>
          <w:rFonts w:ascii="melior" w:hAnsi="melior" w:eastAsia="melior" w:cs="melior"/>
          <w:color w:val="auto"/>
          <w:sz w:val="24"/>
          <w:szCs w:val="24"/>
          <w:u w:val="single"/>
        </w:rPr>
      </w:pPr>
      <w:r w:rsidRPr="647AC4B8" w:rsidR="00871851">
        <w:rPr>
          <w:rFonts w:ascii="melior" w:hAnsi="melior" w:eastAsia="melior" w:cs="melior"/>
          <w:color w:val="auto"/>
          <w:sz w:val="24"/>
          <w:szCs w:val="24"/>
          <w:u w:val="single"/>
        </w:rPr>
        <w:t>A</w:t>
      </w:r>
      <w:r w:rsidRPr="647AC4B8" w:rsidR="00EE0EA4">
        <w:rPr>
          <w:rFonts w:ascii="melior" w:hAnsi="melior" w:eastAsia="melior" w:cs="melior"/>
          <w:color w:val="auto"/>
          <w:sz w:val="24"/>
          <w:szCs w:val="24"/>
          <w:u w:val="single"/>
        </w:rPr>
        <w:t xml:space="preserve">ssess </w:t>
      </w:r>
      <w:r w:rsidRPr="647AC4B8" w:rsidR="653BBE9E">
        <w:rPr>
          <w:rFonts w:ascii="melior" w:hAnsi="melior" w:eastAsia="melior" w:cs="melior"/>
          <w:color w:val="auto"/>
          <w:sz w:val="24"/>
          <w:szCs w:val="24"/>
          <w:u w:val="single"/>
        </w:rPr>
        <w:t>C</w:t>
      </w:r>
      <w:r w:rsidRPr="647AC4B8" w:rsidR="000D08CA">
        <w:rPr>
          <w:rFonts w:ascii="melior" w:hAnsi="melior" w:eastAsia="melior" w:cs="melior"/>
          <w:color w:val="auto"/>
          <w:sz w:val="24"/>
          <w:szCs w:val="24"/>
          <w:u w:val="single"/>
        </w:rPr>
        <w:t xml:space="preserve">andidate’s </w:t>
      </w:r>
      <w:r w:rsidRPr="647AC4B8" w:rsidR="21DEF208">
        <w:rPr>
          <w:rFonts w:ascii="melior" w:hAnsi="melior" w:eastAsia="melior" w:cs="melior"/>
          <w:color w:val="auto"/>
          <w:sz w:val="24"/>
          <w:szCs w:val="24"/>
          <w:u w:val="single"/>
        </w:rPr>
        <w:t>T</w:t>
      </w:r>
      <w:r w:rsidRPr="647AC4B8" w:rsidR="000D08CA">
        <w:rPr>
          <w:rFonts w:ascii="melior" w:hAnsi="melior" w:eastAsia="melior" w:cs="melior"/>
          <w:color w:val="auto"/>
          <w:sz w:val="24"/>
          <w:szCs w:val="24"/>
          <w:u w:val="single"/>
        </w:rPr>
        <w:t>eaching</w:t>
      </w:r>
    </w:p>
    <w:p w:rsidR="5EAEF742" w:rsidP="5EAEF742" w:rsidRDefault="5EAEF742" w14:paraId="3BD6950C" w14:textId="52CC79AC">
      <w:pPr>
        <w:pStyle w:val="Normal"/>
      </w:pPr>
    </w:p>
    <w:p w:rsidR="000D08CA" w:rsidP="647AC4B8" w:rsidRDefault="00871851" w14:paraId="1182F823" w14:textId="6C605A9B">
      <w:pPr>
        <w:pStyle w:val="Heading2"/>
        <w:rPr>
          <w:rFonts w:ascii="melior" w:hAnsi="melior" w:eastAsia="melior" w:cs="melior"/>
          <w:color w:val="auto"/>
          <w:sz w:val="24"/>
          <w:szCs w:val="24"/>
          <w:u w:val="single"/>
        </w:rPr>
      </w:pPr>
      <w:r w:rsidRPr="647AC4B8" w:rsidR="00EE0EA4">
        <w:rPr>
          <w:rFonts w:ascii="melior" w:hAnsi="melior" w:eastAsia="melior" w:cs="melior"/>
          <w:color w:val="auto"/>
          <w:sz w:val="24"/>
          <w:szCs w:val="24"/>
          <w:u w:val="single"/>
        </w:rPr>
        <w:t xml:space="preserve">Assess </w:t>
      </w:r>
      <w:r w:rsidRPr="647AC4B8" w:rsidR="09C86385">
        <w:rPr>
          <w:rFonts w:ascii="melior" w:hAnsi="melior" w:eastAsia="melior" w:cs="melior"/>
          <w:color w:val="auto"/>
          <w:sz w:val="24"/>
          <w:szCs w:val="24"/>
          <w:u w:val="single"/>
        </w:rPr>
        <w:t>C</w:t>
      </w:r>
      <w:r w:rsidRPr="647AC4B8" w:rsidR="000D08CA">
        <w:rPr>
          <w:rFonts w:ascii="melior" w:hAnsi="melior" w:eastAsia="melior" w:cs="melior"/>
          <w:color w:val="auto"/>
          <w:sz w:val="24"/>
          <w:szCs w:val="24"/>
          <w:u w:val="single"/>
        </w:rPr>
        <w:t xml:space="preserve">andidate’s </w:t>
      </w:r>
      <w:r w:rsidRPr="647AC4B8" w:rsidR="3F31FD98">
        <w:rPr>
          <w:rFonts w:ascii="melior" w:hAnsi="melior" w:eastAsia="melior" w:cs="melior"/>
          <w:color w:val="auto"/>
          <w:sz w:val="24"/>
          <w:szCs w:val="24"/>
          <w:u w:val="single"/>
        </w:rPr>
        <w:t>S</w:t>
      </w:r>
      <w:r w:rsidRPr="647AC4B8" w:rsidR="000D08CA">
        <w:rPr>
          <w:rFonts w:ascii="melior" w:hAnsi="melior" w:eastAsia="melior" w:cs="melior"/>
          <w:color w:val="auto"/>
          <w:sz w:val="24"/>
          <w:szCs w:val="24"/>
          <w:u w:val="single"/>
        </w:rPr>
        <w:t>ervice</w:t>
      </w:r>
    </w:p>
    <w:p w:rsidRPr="009239CA" w:rsidR="009239CA" w:rsidP="3E34B380" w:rsidRDefault="009239CA" w14:paraId="0FF1A46B" w14:textId="77777777">
      <w:pPr>
        <w:rPr>
          <w:rFonts w:ascii="melior" w:hAnsi="melior" w:eastAsia="melior" w:cs="melior"/>
          <w:color w:val="auto"/>
          <w:sz w:val="24"/>
          <w:szCs w:val="24"/>
        </w:rPr>
      </w:pPr>
    </w:p>
    <w:p w:rsidR="000D08CA" w:rsidP="647AC4B8" w:rsidRDefault="00871851" w14:paraId="687606F7" w14:textId="6ED84715">
      <w:pPr>
        <w:pStyle w:val="Heading2"/>
        <w:rPr>
          <w:rFonts w:ascii="melior" w:hAnsi="melior" w:eastAsia="melior" w:cs="melior"/>
          <w:color w:val="auto"/>
          <w:sz w:val="24"/>
          <w:szCs w:val="24"/>
          <w:u w:val="single"/>
        </w:rPr>
      </w:pPr>
      <w:r w:rsidRPr="647AC4B8" w:rsidR="00871851">
        <w:rPr>
          <w:rFonts w:ascii="melior" w:hAnsi="melior" w:eastAsia="melior" w:cs="melior"/>
          <w:color w:val="auto"/>
          <w:sz w:val="24"/>
          <w:szCs w:val="24"/>
          <w:u w:val="single"/>
        </w:rPr>
        <w:t>A</w:t>
      </w:r>
      <w:r w:rsidRPr="647AC4B8" w:rsidR="00EE0EA4">
        <w:rPr>
          <w:rFonts w:ascii="melior" w:hAnsi="melior" w:eastAsia="melior" w:cs="melior"/>
          <w:color w:val="auto"/>
          <w:sz w:val="24"/>
          <w:szCs w:val="24"/>
          <w:u w:val="single"/>
        </w:rPr>
        <w:t xml:space="preserve">ssess </w:t>
      </w:r>
      <w:r w:rsidRPr="647AC4B8" w:rsidR="4982C8CB">
        <w:rPr>
          <w:rFonts w:ascii="melior" w:hAnsi="melior" w:eastAsia="melior" w:cs="melior"/>
          <w:color w:val="auto"/>
          <w:sz w:val="24"/>
          <w:szCs w:val="24"/>
          <w:u w:val="single"/>
        </w:rPr>
        <w:t>C</w:t>
      </w:r>
      <w:r w:rsidRPr="647AC4B8" w:rsidR="000D08CA">
        <w:rPr>
          <w:rFonts w:ascii="melior" w:hAnsi="melior" w:eastAsia="melior" w:cs="melior"/>
          <w:color w:val="auto"/>
          <w:sz w:val="24"/>
          <w:szCs w:val="24"/>
          <w:u w:val="single"/>
        </w:rPr>
        <w:t xml:space="preserve">andidate’s </w:t>
      </w:r>
      <w:r w:rsidRPr="647AC4B8" w:rsidR="643E9E85">
        <w:rPr>
          <w:rFonts w:ascii="melior" w:hAnsi="melior" w:eastAsia="melior" w:cs="melior"/>
          <w:color w:val="auto"/>
          <w:sz w:val="24"/>
          <w:szCs w:val="24"/>
          <w:u w:val="single"/>
        </w:rPr>
        <w:t>C</w:t>
      </w:r>
      <w:r w:rsidRPr="647AC4B8" w:rsidR="000D08CA">
        <w:rPr>
          <w:rFonts w:ascii="melior" w:hAnsi="melior" w:eastAsia="melior" w:cs="melior"/>
          <w:color w:val="auto"/>
          <w:sz w:val="24"/>
          <w:szCs w:val="24"/>
          <w:u w:val="single"/>
        </w:rPr>
        <w:t>ontributions to DEI</w:t>
      </w:r>
    </w:p>
    <w:p w:rsidRPr="009239CA" w:rsidR="009239CA" w:rsidP="3E34B380" w:rsidRDefault="009239CA" w14:paraId="013FF7FE" w14:textId="77777777">
      <w:pPr>
        <w:rPr>
          <w:rFonts w:ascii="melior" w:hAnsi="melior" w:eastAsia="melior" w:cs="melior"/>
          <w:color w:val="auto"/>
          <w:sz w:val="24"/>
          <w:szCs w:val="24"/>
        </w:rPr>
      </w:pPr>
    </w:p>
    <w:p w:rsidR="0042214C" w:rsidP="647AC4B8" w:rsidRDefault="0042214C" w14:paraId="091B4902" w14:textId="02835294">
      <w:pPr>
        <w:pStyle w:val="Heading2"/>
        <w:spacing w:after="120"/>
        <w:rPr>
          <w:rFonts w:ascii="melior" w:hAnsi="melior" w:eastAsia="melior" w:cs="melior"/>
          <w:i w:val="1"/>
          <w:iCs w:val="1"/>
          <w:color w:val="auto"/>
          <w:sz w:val="24"/>
          <w:szCs w:val="24"/>
        </w:rPr>
      </w:pPr>
      <w:r w:rsidRPr="647AC4B8" w:rsidR="0042214C">
        <w:rPr>
          <w:rFonts w:ascii="melior" w:hAnsi="melior" w:eastAsia="melior" w:cs="melior"/>
          <w:color w:val="auto"/>
          <w:sz w:val="24"/>
          <w:szCs w:val="24"/>
          <w:u w:val="single"/>
        </w:rPr>
        <w:t>Other Comments</w:t>
      </w:r>
      <w:r w:rsidRPr="647AC4B8" w:rsidR="0042214C">
        <w:rPr>
          <w:rFonts w:ascii="melior" w:hAnsi="melior" w:eastAsia="melior" w:cs="melior"/>
          <w:i w:val="1"/>
          <w:iCs w:val="1"/>
          <w:color w:val="auto"/>
          <w:sz w:val="24"/>
          <w:szCs w:val="24"/>
        </w:rPr>
        <w:t xml:space="preserve"> </w:t>
      </w:r>
    </w:p>
    <w:p w:rsidRPr="00C16ED4" w:rsidR="00871851" w:rsidP="5EAEF742" w:rsidRDefault="00871851" w14:paraId="2686EDBF" w14:textId="34A3C076">
      <w:pPr>
        <w:rPr>
          <w:rFonts w:ascii="melior" w:hAnsi="melior" w:eastAsia="melior" w:cs="melior"/>
          <w:i w:val="1"/>
          <w:iCs w:val="1"/>
          <w:color w:val="auto" w:themeColor="accent5" w:themeTint="FF" w:themeShade="FF"/>
          <w:sz w:val="24"/>
          <w:szCs w:val="24"/>
        </w:rPr>
      </w:pPr>
      <w:r w:rsidRPr="5EAEF742" w:rsidR="00871851">
        <w:rPr>
          <w:rFonts w:ascii="melior" w:hAnsi="melior" w:eastAsia="melior" w:cs="melior"/>
          <w:i w:val="1"/>
          <w:iCs w:val="1"/>
          <w:color w:val="auto"/>
          <w:sz w:val="24"/>
          <w:szCs w:val="24"/>
        </w:rPr>
        <w:t xml:space="preserve">The report should also address any matters not adequately addressed by the department committee report. Such matters could include the following: </w:t>
      </w:r>
    </w:p>
    <w:p w:rsidRPr="00C16ED4" w:rsidR="00871851" w:rsidP="5EAEF742" w:rsidRDefault="00871851" w14:paraId="4F3C814E" w14:textId="3BC20839">
      <w:pPr>
        <w:pStyle w:val="ListParagraph"/>
        <w:numPr>
          <w:ilvl w:val="0"/>
          <w:numId w:val="5"/>
        </w:numPr>
        <w:tabs>
          <w:tab w:val="left" w:pos="900"/>
        </w:tabs>
        <w:ind w:left="990"/>
        <w:rPr>
          <w:rFonts w:ascii="melior" w:hAnsi="melior" w:eastAsia="melior" w:cs="melior"/>
          <w:i w:val="1"/>
          <w:iCs w:val="1"/>
          <w:color w:val="auto" w:themeColor="accent5" w:themeTint="FF" w:themeShade="FF"/>
          <w:sz w:val="24"/>
          <w:szCs w:val="24"/>
        </w:rPr>
      </w:pPr>
      <w:r w:rsidRPr="5EAEF742" w:rsidR="00871851">
        <w:rPr>
          <w:rFonts w:ascii="melior" w:hAnsi="melior" w:eastAsia="melior" w:cs="melior"/>
          <w:i w:val="1"/>
          <w:iCs w:val="1"/>
          <w:color w:val="auto"/>
          <w:sz w:val="24"/>
          <w:szCs w:val="24"/>
        </w:rPr>
        <w:t xml:space="preserve">Rankings or prestige of journals or venues </w:t>
      </w:r>
    </w:p>
    <w:p w:rsidRPr="00C16ED4" w:rsidR="00871851" w:rsidP="5EAEF742" w:rsidRDefault="00871851" w14:paraId="5F3969CC" w14:textId="735A1D93">
      <w:pPr>
        <w:pStyle w:val="ListParagraph"/>
        <w:numPr>
          <w:ilvl w:val="0"/>
          <w:numId w:val="5"/>
        </w:numPr>
        <w:tabs>
          <w:tab w:val="left" w:pos="900"/>
        </w:tabs>
        <w:ind w:left="990"/>
        <w:rPr>
          <w:rFonts w:ascii="melior" w:hAnsi="melior" w:eastAsia="melior" w:cs="melior"/>
          <w:i w:val="1"/>
          <w:iCs w:val="1"/>
          <w:color w:val="auto" w:themeColor="accent5" w:themeTint="FF" w:themeShade="FF"/>
          <w:sz w:val="24"/>
          <w:szCs w:val="24"/>
        </w:rPr>
      </w:pPr>
      <w:r w:rsidRPr="5EAEF742" w:rsidR="00871851">
        <w:rPr>
          <w:rFonts w:ascii="melior" w:hAnsi="melior" w:eastAsia="melior" w:cs="melior"/>
          <w:i w:val="1"/>
          <w:iCs w:val="1"/>
          <w:color w:val="auto"/>
          <w:sz w:val="24"/>
          <w:szCs w:val="24"/>
        </w:rPr>
        <w:t xml:space="preserve">Co-authorship and the significance of author order in the candidate’s publications </w:t>
      </w:r>
    </w:p>
    <w:p w:rsidRPr="00C16ED4" w:rsidR="00871851" w:rsidP="5EAEF742" w:rsidRDefault="00871851" w14:paraId="389C967E" w14:textId="11A94959">
      <w:pPr>
        <w:pStyle w:val="ListParagraph"/>
        <w:numPr>
          <w:ilvl w:val="0"/>
          <w:numId w:val="5"/>
        </w:numPr>
        <w:tabs>
          <w:tab w:val="left" w:pos="900"/>
        </w:tabs>
        <w:ind w:left="990"/>
        <w:rPr>
          <w:rFonts w:ascii="melior" w:hAnsi="melior" w:eastAsia="melior" w:cs="melior"/>
          <w:i w:val="1"/>
          <w:iCs w:val="1"/>
          <w:color w:val="auto" w:themeColor="accent5" w:themeTint="FF" w:themeShade="FF"/>
          <w:sz w:val="24"/>
          <w:szCs w:val="24"/>
        </w:rPr>
      </w:pPr>
      <w:r w:rsidRPr="5EAEF742" w:rsidR="00871851">
        <w:rPr>
          <w:rFonts w:ascii="melior" w:hAnsi="melior" w:eastAsia="melior" w:cs="melior"/>
          <w:i w:val="1"/>
          <w:iCs w:val="1"/>
          <w:color w:val="auto"/>
          <w:sz w:val="24"/>
          <w:szCs w:val="24"/>
        </w:rPr>
        <w:t xml:space="preserve">Stature and unique perspectives of the external reviewers </w:t>
      </w:r>
    </w:p>
    <w:p w:rsidRPr="00C16ED4" w:rsidR="00871851" w:rsidP="5EAEF742" w:rsidRDefault="00871851" w14:paraId="6A464260" w14:textId="7373566A">
      <w:pPr>
        <w:pStyle w:val="ListParagraph"/>
        <w:numPr>
          <w:ilvl w:val="0"/>
          <w:numId w:val="5"/>
        </w:numPr>
        <w:tabs>
          <w:tab w:val="left" w:pos="900"/>
        </w:tabs>
        <w:ind w:left="990"/>
        <w:rPr>
          <w:rFonts w:ascii="melior" w:hAnsi="melior" w:eastAsia="melior" w:cs="melior"/>
          <w:i w:val="1"/>
          <w:iCs w:val="1"/>
          <w:color w:val="auto" w:themeColor="accent5" w:themeTint="FF" w:themeShade="FF"/>
          <w:sz w:val="24"/>
          <w:szCs w:val="24"/>
        </w:rPr>
      </w:pPr>
      <w:r w:rsidRPr="5EAEF742" w:rsidR="00871851">
        <w:rPr>
          <w:rFonts w:ascii="melior" w:hAnsi="melior" w:eastAsia="melior" w:cs="melior"/>
          <w:i w:val="1"/>
          <w:iCs w:val="1"/>
          <w:color w:val="auto"/>
          <w:sz w:val="24"/>
          <w:szCs w:val="24"/>
        </w:rPr>
        <w:t xml:space="preserve">Internal and external grant/fellowship/award record </w:t>
      </w:r>
    </w:p>
    <w:p w:rsidR="00871851" w:rsidP="5EAEF742" w:rsidRDefault="00871851" w14:paraId="20D6AB64" w14:textId="1AD571B3">
      <w:pPr>
        <w:pStyle w:val="ListParagraph"/>
        <w:numPr>
          <w:ilvl w:val="0"/>
          <w:numId w:val="5"/>
        </w:numPr>
        <w:tabs>
          <w:tab w:val="left" w:pos="900"/>
        </w:tabs>
        <w:ind w:left="990"/>
        <w:rPr>
          <w:rFonts w:ascii="melior" w:hAnsi="melior" w:eastAsia="melior" w:cs="melior"/>
          <w:i w:val="1"/>
          <w:iCs w:val="1"/>
          <w:color w:val="auto" w:themeColor="accent5" w:themeTint="FF" w:themeShade="FF"/>
          <w:sz w:val="24"/>
          <w:szCs w:val="24"/>
        </w:rPr>
      </w:pPr>
      <w:r w:rsidRPr="5EAEF742" w:rsidR="00871851">
        <w:rPr>
          <w:rFonts w:ascii="melior" w:hAnsi="melior" w:eastAsia="melior" w:cs="melior"/>
          <w:i w:val="1"/>
          <w:iCs w:val="1"/>
          <w:color w:val="auto"/>
          <w:sz w:val="24"/>
          <w:szCs w:val="24"/>
        </w:rPr>
        <w:t>Additional</w:t>
      </w:r>
      <w:r w:rsidRPr="5EAEF742" w:rsidR="00871851">
        <w:rPr>
          <w:rFonts w:ascii="melior" w:hAnsi="melior" w:eastAsia="melior" w:cs="melior"/>
          <w:i w:val="1"/>
          <w:iCs w:val="1"/>
          <w:color w:val="auto"/>
          <w:sz w:val="24"/>
          <w:szCs w:val="24"/>
        </w:rPr>
        <w:t xml:space="preserve"> observations about the teaching and service records</w:t>
      </w:r>
    </w:p>
    <w:p w:rsidR="0042214C" w:rsidP="5EAEF742" w:rsidRDefault="0042214C" w14:paraId="2212EB8D" w14:textId="4AE35005">
      <w:pPr>
        <w:pStyle w:val="ListParagraph"/>
        <w:tabs>
          <w:tab w:val="left" w:pos="900"/>
        </w:tabs>
        <w:spacing w:after="0"/>
        <w:ind w:left="994"/>
        <w:rPr>
          <w:rFonts w:ascii="melior" w:hAnsi="melior" w:eastAsia="melior" w:cs="melior"/>
          <w:i w:val="1"/>
          <w:iCs w:val="1"/>
          <w:color w:val="auto"/>
          <w:sz w:val="24"/>
          <w:szCs w:val="24"/>
        </w:rPr>
      </w:pPr>
    </w:p>
    <w:p w:rsidR="3E34B380" w:rsidP="647AC4B8" w:rsidRDefault="3E34B380" w14:paraId="3C7777FC" w14:textId="67388C9C">
      <w:pPr>
        <w:pStyle w:val="Heading2"/>
        <w:rPr>
          <w:rFonts w:ascii="melior" w:hAnsi="melior" w:eastAsia="melior" w:cs="melior"/>
          <w:color w:val="auto"/>
          <w:sz w:val="24"/>
          <w:szCs w:val="24"/>
          <w:u w:val="single"/>
        </w:rPr>
      </w:pPr>
      <w:r w:rsidRPr="647AC4B8" w:rsidR="00871851">
        <w:rPr>
          <w:rFonts w:ascii="melior" w:hAnsi="melior" w:eastAsia="melior" w:cs="melior"/>
          <w:color w:val="auto"/>
          <w:sz w:val="24"/>
          <w:szCs w:val="24"/>
          <w:u w:val="single"/>
        </w:rPr>
        <w:t xml:space="preserve"> </w:t>
      </w:r>
      <w:r w:rsidRPr="647AC4B8" w:rsidR="000D08CA">
        <w:rPr>
          <w:rFonts w:ascii="melior" w:hAnsi="melior" w:eastAsia="melior" w:cs="melior"/>
          <w:color w:val="auto"/>
          <w:sz w:val="24"/>
          <w:szCs w:val="24"/>
          <w:u w:val="single"/>
        </w:rPr>
        <w:t xml:space="preserve">Conclusion and </w:t>
      </w:r>
      <w:r w:rsidRPr="647AC4B8" w:rsidR="69867F5A">
        <w:rPr>
          <w:rFonts w:ascii="melior" w:hAnsi="melior" w:eastAsia="melior" w:cs="melior"/>
          <w:color w:val="auto"/>
          <w:sz w:val="24"/>
          <w:szCs w:val="24"/>
          <w:u w:val="single"/>
        </w:rPr>
        <w:t>R</w:t>
      </w:r>
      <w:r w:rsidRPr="647AC4B8" w:rsidR="000D08CA">
        <w:rPr>
          <w:rFonts w:ascii="melior" w:hAnsi="melior" w:eastAsia="melior" w:cs="melior"/>
          <w:color w:val="auto"/>
          <w:sz w:val="24"/>
          <w:szCs w:val="24"/>
          <w:u w:val="single"/>
        </w:rPr>
        <w:t>ecommendation</w:t>
      </w:r>
    </w:p>
    <w:p w:rsidR="3E34B380" w:rsidP="3E34B380" w:rsidRDefault="3E34B380" w14:paraId="3027A1BE" w14:textId="1992E444">
      <w:pPr>
        <w:pStyle w:val="Normal"/>
      </w:pPr>
    </w:p>
    <w:p w:rsidR="3E34B380" w:rsidP="3E34B380" w:rsidRDefault="3E34B380" w14:paraId="58F45649" w14:textId="677490AD">
      <w:pPr>
        <w:pStyle w:val="Normal"/>
      </w:pPr>
    </w:p>
    <w:p w:rsidR="647AC4B8" w:rsidP="647AC4B8" w:rsidRDefault="647AC4B8" w14:paraId="4FD48C84" w14:textId="1AF67163">
      <w:pPr>
        <w:pStyle w:val="Normal"/>
      </w:pPr>
    </w:p>
    <w:p w:rsidRPr="00871851" w:rsidR="00871851" w:rsidP="3E34B380" w:rsidRDefault="00871851" w14:paraId="2049EFBF" w14:textId="58BA7775">
      <w:pPr>
        <w:spacing w:after="0"/>
        <w:rPr>
          <w:rFonts w:ascii="melior" w:hAnsi="melior" w:eastAsia="melior" w:cs="melior"/>
          <w:color w:val="auto"/>
          <w:sz w:val="24"/>
          <w:szCs w:val="24"/>
        </w:rPr>
      </w:pPr>
      <w:r w:rsidRPr="3E34B380" w:rsidR="00871851">
        <w:rPr>
          <w:rFonts w:ascii="melior" w:hAnsi="melior" w:eastAsia="melior" w:cs="melior"/>
          <w:color w:val="auto"/>
          <w:sz w:val="24"/>
          <w:szCs w:val="24"/>
        </w:rPr>
        <w:t>_____________________________________</w:t>
      </w:r>
      <w:r>
        <w:tab/>
      </w:r>
      <w:r>
        <w:tab/>
      </w:r>
      <w:r>
        <w:tab/>
      </w:r>
      <w:r w:rsidRPr="3E34B380" w:rsidR="00871851">
        <w:rPr>
          <w:rFonts w:ascii="melior" w:hAnsi="melior" w:eastAsia="melior" w:cs="melior"/>
          <w:color w:val="auto"/>
          <w:sz w:val="24"/>
          <w:szCs w:val="24"/>
        </w:rPr>
        <w:t>_____________</w:t>
      </w:r>
    </w:p>
    <w:p w:rsidR="004B2BF2" w:rsidP="3E34B380" w:rsidRDefault="0042214C" w14:paraId="0B7249EC" w14:textId="43B6841F">
      <w:pPr>
        <w:spacing w:after="0"/>
        <w:rPr>
          <w:rFonts w:ascii="melior" w:hAnsi="melior" w:eastAsia="melior" w:cs="melior"/>
          <w:color w:val="auto"/>
          <w:sz w:val="24"/>
          <w:szCs w:val="24"/>
        </w:rPr>
      </w:pPr>
      <w:r w:rsidRPr="3E34B380" w:rsidR="14ADD152">
        <w:rPr>
          <w:rFonts w:ascii="melior" w:hAnsi="melior" w:eastAsia="melior" w:cs="melior"/>
          <w:color w:val="auto"/>
          <w:sz w:val="24"/>
          <w:szCs w:val="24"/>
        </w:rPr>
        <w:t>Unit/</w:t>
      </w:r>
      <w:r w:rsidRPr="3E34B380" w:rsidR="0042214C">
        <w:rPr>
          <w:rFonts w:ascii="melior" w:hAnsi="melior" w:eastAsia="melior" w:cs="melior"/>
          <w:color w:val="auto"/>
          <w:sz w:val="24"/>
          <w:szCs w:val="24"/>
        </w:rPr>
        <w:t xml:space="preserve">Department Head </w:t>
      </w:r>
      <w:r w:rsidRPr="3E34B380" w:rsidR="00871851">
        <w:rPr>
          <w:rFonts w:ascii="melior" w:hAnsi="melior" w:eastAsia="melior" w:cs="melior"/>
          <w:color w:val="auto"/>
          <w:sz w:val="24"/>
          <w:szCs w:val="24"/>
        </w:rPr>
        <w:t>Signature</w:t>
      </w:r>
      <w:r>
        <w:tab/>
      </w:r>
      <w:r>
        <w:tab/>
      </w:r>
      <w:r>
        <w:tab/>
      </w:r>
      <w:r>
        <w:tab/>
      </w:r>
      <w:r w:rsidRPr="3E34B380" w:rsidR="00871851">
        <w:rPr>
          <w:rFonts w:ascii="melior" w:hAnsi="melior" w:eastAsia="melior" w:cs="melior"/>
          <w:color w:val="auto"/>
          <w:sz w:val="24"/>
          <w:szCs w:val="24"/>
        </w:rPr>
        <w:t>Dat</w:t>
      </w:r>
      <w:r w:rsidRPr="3E34B380" w:rsidR="00C16ED4">
        <w:rPr>
          <w:rFonts w:ascii="melior" w:hAnsi="melior" w:eastAsia="melior" w:cs="melior"/>
          <w:color w:val="auto"/>
          <w:sz w:val="24"/>
          <w:szCs w:val="24"/>
        </w:rPr>
        <w:t>e</w:t>
      </w:r>
    </w:p>
    <w:sectPr w:rsidR="004B2BF2" w:rsidSect="00BC3D91">
      <w:headerReference w:type="default" r:id="rId9"/>
      <w:footerReference w:type="default" r:id="rId10"/>
      <w:headerReference w:type="first" r:id="rId11"/>
      <w:pgSz w:w="12240" w:h="15840" w:orient="portrait"/>
      <w:pgMar w:top="1440" w:right="1440" w:bottom="1440" w:left="1440" w:header="720" w:footer="720" w:gutter="0"/>
      <w:cols w:space="720"/>
      <w:titlePg/>
      <w:docGrid w:linePitch="360"/>
      <w:footerReference w:type="first" r:id="R90e444dddcc74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27F9" w:rsidP="007941AE" w:rsidRDefault="00AC27F9" w14:paraId="62DEFC65" w14:textId="77777777">
      <w:pPr>
        <w:spacing w:after="0" w:line="240" w:lineRule="auto"/>
      </w:pPr>
      <w:r>
        <w:separator/>
      </w:r>
    </w:p>
  </w:endnote>
  <w:endnote w:type="continuationSeparator" w:id="0">
    <w:p w:rsidR="00AC27F9" w:rsidP="007941AE" w:rsidRDefault="00AC27F9" w14:paraId="642954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439641"/>
      <w:docPartObj>
        <w:docPartGallery w:val="Page Numbers (Bottom of Page)"/>
        <w:docPartUnique/>
      </w:docPartObj>
    </w:sdtPr>
    <w:sdtEndPr>
      <w:rPr>
        <w:noProof/>
      </w:rPr>
    </w:sdtEndPr>
    <w:sdtContent>
      <w:p w:rsidR="007941AE" w:rsidRDefault="007941AE" w14:paraId="79BBBFC9" w14:textId="3E3C53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41AE" w:rsidRDefault="007941AE" w14:paraId="5C3EA4BB"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AF11296" w:rsidTr="3E34B380" w14:paraId="6CFFF4B2">
      <w:trPr>
        <w:trHeight w:val="300"/>
      </w:trPr>
      <w:tc>
        <w:tcPr>
          <w:tcW w:w="3120" w:type="dxa"/>
          <w:tcMar/>
        </w:tcPr>
        <w:p w:rsidR="4AF11296" w:rsidP="4AF11296" w:rsidRDefault="4AF11296" w14:paraId="18C85B4C" w14:textId="20465AA9">
          <w:pPr>
            <w:pStyle w:val="Header"/>
            <w:bidi w:val="0"/>
            <w:ind w:left="-115"/>
            <w:jc w:val="left"/>
          </w:pPr>
        </w:p>
      </w:tc>
      <w:tc>
        <w:tcPr>
          <w:tcW w:w="3120" w:type="dxa"/>
          <w:tcMar/>
        </w:tcPr>
        <w:p w:rsidR="4AF11296" w:rsidP="4AF11296" w:rsidRDefault="4AF11296" w14:paraId="24F37A4E" w14:textId="472E2283">
          <w:pPr>
            <w:pStyle w:val="Header"/>
            <w:bidi w:val="0"/>
            <w:jc w:val="center"/>
          </w:pPr>
        </w:p>
      </w:tc>
      <w:tc>
        <w:tcPr>
          <w:tcW w:w="3120" w:type="dxa"/>
          <w:tcMar/>
        </w:tcPr>
        <w:p w:rsidR="4AF11296" w:rsidP="4AF11296" w:rsidRDefault="4AF11296" w14:paraId="569D559F" w14:textId="503598A3">
          <w:pPr>
            <w:pStyle w:val="Header"/>
            <w:bidi w:val="0"/>
            <w:ind w:right="-115"/>
            <w:jc w:val="right"/>
          </w:pPr>
          <w:r w:rsidR="3E34B380">
            <w:rPr/>
            <w:t>Revised 9/7/23</w:t>
          </w:r>
        </w:p>
      </w:tc>
    </w:tr>
  </w:tbl>
  <w:p w:rsidR="4AF11296" w:rsidP="4AF11296" w:rsidRDefault="4AF11296" w14:paraId="60FB893A" w14:textId="2F60654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27F9" w:rsidP="007941AE" w:rsidRDefault="00AC27F9" w14:paraId="228AB081" w14:textId="77777777">
      <w:pPr>
        <w:spacing w:after="0" w:line="240" w:lineRule="auto"/>
      </w:pPr>
      <w:r>
        <w:separator/>
      </w:r>
    </w:p>
  </w:footnote>
  <w:footnote w:type="continuationSeparator" w:id="0">
    <w:p w:rsidR="00AC27F9" w:rsidP="007941AE" w:rsidRDefault="00AC27F9" w14:paraId="0F0516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41AE" w:rsidR="00BC3D91" w:rsidP="00BC3D91" w:rsidRDefault="00BC3D91" w14:paraId="0F60BAB0" w14:textId="63E82027">
    <w:pPr>
      <w:rPr>
        <w:rFonts w:cstheme="minorHAnsi"/>
        <w:b/>
        <w:bCs/>
        <w:u w:val="single"/>
      </w:rPr>
    </w:pPr>
  </w:p>
  <w:p w:rsidR="00BC3D91" w:rsidRDefault="00BC3D91" w14:paraId="7E52AE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3E34B380" w:rsidP="3E34B380" w:rsidRDefault="3E34B380" w14:paraId="4D4C3EC4" w14:textId="391027BB">
    <w:pPr>
      <w:keepNext w:val="1"/>
      <w:keepLines w:val="1"/>
      <w:spacing w:before="0" w:beforeAutospacing="off" w:after="0" w:afterAutospacing="off" w:line="240" w:lineRule="auto"/>
      <w:jc w:val="center"/>
      <w:rPr>
        <w:rFonts w:ascii="melior" w:hAnsi="melior" w:eastAsia="melior" w:cs="melior"/>
        <w:b w:val="1"/>
        <w:bCs w:val="1"/>
        <w:color w:val="auto"/>
        <w:sz w:val="24"/>
        <w:szCs w:val="24"/>
      </w:rPr>
    </w:pPr>
    <w:r w:rsidRPr="3E34B380" w:rsidR="3E34B380">
      <w:rPr>
        <w:rFonts w:ascii="melior" w:hAnsi="melior" w:eastAsia="melior" w:cs="melior"/>
        <w:b w:val="1"/>
        <w:bCs w:val="1"/>
        <w:color w:val="auto"/>
        <w:sz w:val="24"/>
        <w:szCs w:val="24"/>
      </w:rPr>
      <w:t xml:space="preserve">Tenure and Promotion to Associate </w:t>
    </w:r>
    <w:r w:rsidRPr="3E34B380" w:rsidR="3E34B380">
      <w:rPr>
        <w:rFonts w:ascii="melior" w:hAnsi="melior" w:eastAsia="melior" w:cs="melior"/>
        <w:b w:val="1"/>
        <w:bCs w:val="1"/>
        <w:color w:val="auto"/>
        <w:sz w:val="24"/>
        <w:szCs w:val="24"/>
      </w:rPr>
      <w:t xml:space="preserve">Unit/Department Head </w:t>
    </w:r>
    <w:r w:rsidRPr="3E34B380" w:rsidR="3E34B380">
      <w:rPr>
        <w:rFonts w:ascii="melior" w:hAnsi="melior" w:eastAsia="melior" w:cs="melior"/>
        <w:b w:val="1"/>
        <w:bCs w:val="1"/>
        <w:color w:val="auto"/>
        <w:sz w:val="24"/>
        <w:szCs w:val="24"/>
      </w:rPr>
      <w:t xml:space="preserve">Report </w:t>
    </w:r>
  </w:p>
  <w:p w:rsidR="3E34B380" w:rsidP="3E34B380" w:rsidRDefault="3E34B380" w14:paraId="0B4F9CA5" w14:textId="0A08C06B">
    <w:pPr>
      <w:keepNext w:val="1"/>
      <w:keepLines w:val="1"/>
      <w:spacing w:before="0" w:beforeAutospacing="off" w:after="0" w:afterAutospacing="off" w:line="240" w:lineRule="auto"/>
      <w:jc w:val="center"/>
      <w:rPr>
        <w:rFonts w:ascii="melior" w:hAnsi="melior" w:eastAsia="melior" w:cs="melior"/>
        <w:b w:val="1"/>
        <w:bCs w:val="1"/>
        <w:color w:val="auto"/>
        <w:sz w:val="24"/>
        <w:szCs w:val="24"/>
      </w:rPr>
    </w:pPr>
    <w:r w:rsidRPr="3E34B380" w:rsidR="3E34B380">
      <w:rPr>
        <w:rFonts w:ascii="melior" w:hAnsi="melior" w:eastAsia="melior" w:cs="melior"/>
        <w:b w:val="1"/>
        <w:bCs w:val="1"/>
        <w:color w:val="auto"/>
        <w:sz w:val="24"/>
        <w:szCs w:val="24"/>
      </w:rPr>
      <w:t>Template and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38e9a2b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5759"/>
    <w:multiLevelType w:val="hybridMultilevel"/>
    <w:tmpl w:val="7BA85FB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A1D7B"/>
    <w:multiLevelType w:val="multilevel"/>
    <w:tmpl w:val="5F7A3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ABB4837"/>
    <w:multiLevelType w:val="hybridMultilevel"/>
    <w:tmpl w:val="41968488"/>
    <w:lvl w:ilvl="0" w:tplc="36D28262">
      <w:start w:val="1"/>
      <w:numFmt w:val="bullet"/>
      <w:lvlText w:val="o"/>
      <w:lvlJc w:val="left"/>
      <w:pPr>
        <w:ind w:left="1080" w:hanging="360"/>
      </w:pPr>
      <w:rPr>
        <w:rFonts w:hint="default" w:ascii="Courier New" w:hAnsi="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47BD5897"/>
    <w:multiLevelType w:val="hybridMultilevel"/>
    <w:tmpl w:val="D77E82DA"/>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1">
    <w:abstractNumId w:val="20"/>
  </w:num>
  <w:num w:numId="1" w16cid:durableId="567351454">
    <w:abstractNumId w:val="3"/>
  </w:num>
  <w:num w:numId="2" w16cid:durableId="1900628943">
    <w:abstractNumId w:val="17"/>
  </w:num>
  <w:num w:numId="3" w16cid:durableId="522861043">
    <w:abstractNumId w:val="13"/>
  </w:num>
  <w:num w:numId="4" w16cid:durableId="1239898518">
    <w:abstractNumId w:val="1"/>
  </w:num>
  <w:num w:numId="5" w16cid:durableId="860977839">
    <w:abstractNumId w:val="5"/>
  </w:num>
  <w:num w:numId="6" w16cid:durableId="1897931471">
    <w:abstractNumId w:val="14"/>
  </w:num>
  <w:num w:numId="7" w16cid:durableId="344064872">
    <w:abstractNumId w:val="10"/>
  </w:num>
  <w:num w:numId="8" w16cid:durableId="1321275678">
    <w:abstractNumId w:val="9"/>
  </w:num>
  <w:num w:numId="9" w16cid:durableId="225385252">
    <w:abstractNumId w:val="16"/>
  </w:num>
  <w:num w:numId="10" w16cid:durableId="2018916962">
    <w:abstractNumId w:val="8"/>
  </w:num>
  <w:num w:numId="11" w16cid:durableId="268975571">
    <w:abstractNumId w:val="6"/>
  </w:num>
  <w:num w:numId="12" w16cid:durableId="2082369477">
    <w:abstractNumId w:val="0"/>
  </w:num>
  <w:num w:numId="13" w16cid:durableId="891231213">
    <w:abstractNumId w:val="2"/>
  </w:num>
  <w:num w:numId="14" w16cid:durableId="1984844375">
    <w:abstractNumId w:val="4"/>
  </w:num>
  <w:num w:numId="15" w16cid:durableId="1565213293">
    <w:abstractNumId w:val="7"/>
  </w:num>
  <w:num w:numId="16" w16cid:durableId="560949573">
    <w:abstractNumId w:val="12"/>
  </w:num>
  <w:num w:numId="17" w16cid:durableId="1868979337">
    <w:abstractNumId w:val="15"/>
  </w:num>
  <w:num w:numId="18" w16cid:durableId="1103039753">
    <w:abstractNumId w:val="11"/>
  </w:num>
  <w:num w:numId="19" w16cid:durableId="1569614944">
    <w:abstractNumId w:val="18"/>
  </w:num>
  <w:num w:numId="20" w16cid:durableId="1655715923">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C327C"/>
    <w:rsid w:val="000D08CA"/>
    <w:rsid w:val="000F5E9A"/>
    <w:rsid w:val="00150E6C"/>
    <w:rsid w:val="002E01B2"/>
    <w:rsid w:val="002F0794"/>
    <w:rsid w:val="003B1B5D"/>
    <w:rsid w:val="0042214C"/>
    <w:rsid w:val="004B2BF2"/>
    <w:rsid w:val="004B7E0F"/>
    <w:rsid w:val="00505D63"/>
    <w:rsid w:val="00554765"/>
    <w:rsid w:val="007941AE"/>
    <w:rsid w:val="00871851"/>
    <w:rsid w:val="008A61A2"/>
    <w:rsid w:val="0091353B"/>
    <w:rsid w:val="009239CA"/>
    <w:rsid w:val="009845EF"/>
    <w:rsid w:val="009979F7"/>
    <w:rsid w:val="00A43B97"/>
    <w:rsid w:val="00A6EE6F"/>
    <w:rsid w:val="00AC2537"/>
    <w:rsid w:val="00AC27F9"/>
    <w:rsid w:val="00B3A2F8"/>
    <w:rsid w:val="00B86A6E"/>
    <w:rsid w:val="00B91D7D"/>
    <w:rsid w:val="00BC3D91"/>
    <w:rsid w:val="00C16ED4"/>
    <w:rsid w:val="00CD5BDA"/>
    <w:rsid w:val="00E94FA9"/>
    <w:rsid w:val="00EA06DD"/>
    <w:rsid w:val="00EE0EA4"/>
    <w:rsid w:val="0178D0B2"/>
    <w:rsid w:val="037EDEEF"/>
    <w:rsid w:val="03AAD42D"/>
    <w:rsid w:val="03EB43BA"/>
    <w:rsid w:val="055B96BE"/>
    <w:rsid w:val="0640AACB"/>
    <w:rsid w:val="09C86385"/>
    <w:rsid w:val="09CCEF04"/>
    <w:rsid w:val="0D63A979"/>
    <w:rsid w:val="10E40C44"/>
    <w:rsid w:val="11782FBA"/>
    <w:rsid w:val="12B134CE"/>
    <w:rsid w:val="1327FE77"/>
    <w:rsid w:val="13595A16"/>
    <w:rsid w:val="14ADD152"/>
    <w:rsid w:val="163BF802"/>
    <w:rsid w:val="1740F5CC"/>
    <w:rsid w:val="17D7C863"/>
    <w:rsid w:val="19798B5B"/>
    <w:rsid w:val="19D8DBB9"/>
    <w:rsid w:val="1B2FE695"/>
    <w:rsid w:val="1BFB3E92"/>
    <w:rsid w:val="1C04DA4E"/>
    <w:rsid w:val="1CCBB6F6"/>
    <w:rsid w:val="1D4FD551"/>
    <w:rsid w:val="1DCB0C8E"/>
    <w:rsid w:val="1E436D27"/>
    <w:rsid w:val="21DEF208"/>
    <w:rsid w:val="23B66BB5"/>
    <w:rsid w:val="257D5286"/>
    <w:rsid w:val="25826DB1"/>
    <w:rsid w:val="27092280"/>
    <w:rsid w:val="27B52F94"/>
    <w:rsid w:val="2921CDDF"/>
    <w:rsid w:val="2924EEF6"/>
    <w:rsid w:val="2A6BCC1D"/>
    <w:rsid w:val="2CD239DF"/>
    <w:rsid w:val="3120BEA0"/>
    <w:rsid w:val="32730BAF"/>
    <w:rsid w:val="32C46BDF"/>
    <w:rsid w:val="33450DCC"/>
    <w:rsid w:val="335B3E76"/>
    <w:rsid w:val="35103734"/>
    <w:rsid w:val="359A2271"/>
    <w:rsid w:val="35A709CB"/>
    <w:rsid w:val="3B8FEB6A"/>
    <w:rsid w:val="3E34B380"/>
    <w:rsid w:val="3F31FD98"/>
    <w:rsid w:val="4064731D"/>
    <w:rsid w:val="40E91F93"/>
    <w:rsid w:val="41776C0A"/>
    <w:rsid w:val="42858E62"/>
    <w:rsid w:val="433D7DFD"/>
    <w:rsid w:val="473E3EC4"/>
    <w:rsid w:val="4982C8CB"/>
    <w:rsid w:val="4AF11296"/>
    <w:rsid w:val="4BA0DA5D"/>
    <w:rsid w:val="4FA7D7DA"/>
    <w:rsid w:val="4FAFC560"/>
    <w:rsid w:val="50A5CA51"/>
    <w:rsid w:val="51DCB5A5"/>
    <w:rsid w:val="5584D94F"/>
    <w:rsid w:val="55A1CF00"/>
    <w:rsid w:val="55DE3DDA"/>
    <w:rsid w:val="564DB346"/>
    <w:rsid w:val="568F5804"/>
    <w:rsid w:val="58FDCEF3"/>
    <w:rsid w:val="5A02F2EC"/>
    <w:rsid w:val="5EAEF742"/>
    <w:rsid w:val="5F6FBE8F"/>
    <w:rsid w:val="5FE4F404"/>
    <w:rsid w:val="605CBBC1"/>
    <w:rsid w:val="61D0EB75"/>
    <w:rsid w:val="6393CF39"/>
    <w:rsid w:val="643E9E85"/>
    <w:rsid w:val="647AC4B8"/>
    <w:rsid w:val="648031F0"/>
    <w:rsid w:val="653BBE9E"/>
    <w:rsid w:val="661C0251"/>
    <w:rsid w:val="676C7FC9"/>
    <w:rsid w:val="68716962"/>
    <w:rsid w:val="6953371A"/>
    <w:rsid w:val="69867F5A"/>
    <w:rsid w:val="6A3F7880"/>
    <w:rsid w:val="6AE1E647"/>
    <w:rsid w:val="6C763321"/>
    <w:rsid w:val="70B13A52"/>
    <w:rsid w:val="71704223"/>
    <w:rsid w:val="72B37308"/>
    <w:rsid w:val="746994B0"/>
    <w:rsid w:val="774294ED"/>
    <w:rsid w:val="779A456C"/>
    <w:rsid w:val="78D3FAFD"/>
    <w:rsid w:val="79F12505"/>
    <w:rsid w:val="7B514CC3"/>
    <w:rsid w:val="7E2BFD29"/>
    <w:rsid w:val="7EB57502"/>
    <w:rsid w:val="7F6DE6FE"/>
    <w:rsid w:val="7FD1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A138"/>
  <w15:chartTrackingRefBased/>
  <w15:docId w15:val="{BBD202B9-6EC5-4FEB-8672-7107033AC8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hAnsiTheme="majorHAnsi" w:eastAsiaTheme="majorEastAsia"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hAnsiTheme="majorHAnsi" w:eastAsiaTheme="majorEastAsia" w:cstheme="majorBidi"/>
      <w:b/>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arkedcontent" w:customStyle="1">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hAnsi="Times" w:cs="Times New Roman" w:eastAsiaTheme="minorEastAsia"/>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41AE"/>
  </w:style>
  <w:style w:type="character" w:styleId="Heading1Char" w:customStyle="1">
    <w:name w:val="Heading 1 Char"/>
    <w:basedOn w:val="DefaultParagraphFont"/>
    <w:link w:val="Heading1"/>
    <w:uiPriority w:val="9"/>
    <w:rsid w:val="009239CA"/>
    <w:rPr>
      <w:rFonts w:asciiTheme="majorHAnsi" w:hAnsiTheme="majorHAnsi" w:eastAsiaTheme="majorEastAsia" w:cstheme="majorBidi"/>
      <w:b/>
      <w:color w:val="1F3864" w:themeColor="accent1" w:themeShade="80"/>
      <w:sz w:val="28"/>
      <w:szCs w:val="32"/>
    </w:rPr>
  </w:style>
  <w:style w:type="character" w:styleId="Heading2Char" w:customStyle="1">
    <w:name w:val="Heading 2 Char"/>
    <w:basedOn w:val="DefaultParagraphFont"/>
    <w:link w:val="Heading2"/>
    <w:uiPriority w:val="9"/>
    <w:rsid w:val="009239CA"/>
    <w:rPr>
      <w:rFonts w:asciiTheme="majorHAnsi" w:hAnsiTheme="majorHAnsi" w:eastAsiaTheme="majorEastAsia" w:cstheme="majorBidi"/>
      <w:b/>
      <w:sz w:val="24"/>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glossaryDocument" Target="glossary/document.xml" Id="Rd195577241a64c7d" /><Relationship Type="http://schemas.openxmlformats.org/officeDocument/2006/relationships/footer" Target="footer2.xml" Id="R90e444dddcc7485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901c49-10b5-42aa-9d90-24fbd224ab5e}"/>
      </w:docPartPr>
      <w:docPartBody>
        <w:p w14:paraId="4836903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5" ma:contentTypeDescription="Create a new document." ma:contentTypeScope="" ma:versionID="6f959adbc2451d58b370012bea982752">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081b51efc498a4fa196abc02a9598978"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documentManagement>
</p:properties>
</file>

<file path=customXml/itemProps1.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customXml/itemProps2.xml><?xml version="1.0" encoding="utf-8"?>
<ds:datastoreItem xmlns:ds="http://schemas.openxmlformats.org/officeDocument/2006/customXml" ds:itemID="{F8943D93-C3C5-4422-883B-D6719308B412}"/>
</file>

<file path=customXml/itemProps3.xml><?xml version="1.0" encoding="utf-8"?>
<ds:datastoreItem xmlns:ds="http://schemas.openxmlformats.org/officeDocument/2006/customXml" ds:itemID="{63823275-16A3-4D2C-A2A1-4E88C3CE7ACB}"/>
</file>

<file path=customXml/itemProps4.xml><?xml version="1.0" encoding="utf-8"?>
<ds:datastoreItem xmlns:ds="http://schemas.openxmlformats.org/officeDocument/2006/customXml" ds:itemID="{72E61250-EB34-40F1-8009-8030CB9E61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Jules Jones</dc:creator>
  <keywords/>
  <dc:description/>
  <lastModifiedBy>Jenny Talusan</lastModifiedBy>
  <revision>19</revision>
  <dcterms:created xsi:type="dcterms:W3CDTF">2023-02-16T19:04:00.0000000Z</dcterms:created>
  <dcterms:modified xsi:type="dcterms:W3CDTF">2023-09-11T19:14:45.6187976Z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