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763BA" w:rsidR="007941AE" w:rsidP="033A2959" w:rsidRDefault="003B1B5D" w14:paraId="33F114DD" w14:textId="3E139DC6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3A2959" w:rsidR="55113530"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Unit/Department Head Sixth Year Post-Tenure Review (6PTR) </w:t>
      </w:r>
    </w:p>
    <w:p w:rsidRPr="00B763BA" w:rsidR="007941AE" w:rsidP="033A2959" w:rsidRDefault="003B1B5D" w14:paraId="1F1E48EA" w14:textId="6EF44440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melior" w:hAnsi="melior" w:eastAsia="melior" w:cs="melior"/>
          <w:noProof w:val="0"/>
          <w:sz w:val="24"/>
          <w:szCs w:val="24"/>
          <w:lang w:val="en-US"/>
        </w:rPr>
      </w:pPr>
      <w:r w:rsidRPr="033A2959" w:rsidR="55113530"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 Guidance and Template</w:t>
      </w:r>
    </w:p>
    <w:p w:rsidRPr="00B763BA" w:rsidR="007941AE" w:rsidP="033A2959" w:rsidRDefault="003B1B5D" w14:paraId="3A7C7370" w14:textId="7F14A39D">
      <w:pPr>
        <w:pStyle w:val="Normal"/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sz w:val="24"/>
          <w:szCs w:val="24"/>
        </w:rPr>
      </w:pPr>
    </w:p>
    <w:p w:rsidRPr="00B763BA" w:rsidR="007941AE" w:rsidP="033A2959" w:rsidRDefault="003B1B5D" w14:paraId="289A99AD" w14:textId="02134677">
      <w:pPr>
        <w:spacing w:after="0" w:line="240" w:lineRule="auto"/>
        <w:rPr>
          <w:rFonts w:ascii="melior" w:hAnsi="melior" w:eastAsia="melior" w:cs="melior"/>
          <w:b w:val="1"/>
          <w:bCs w:val="1"/>
          <w:i w:val="1"/>
          <w:iCs w:val="1"/>
          <w:sz w:val="24"/>
          <w:szCs w:val="24"/>
        </w:rPr>
      </w:pPr>
      <w:r w:rsidRPr="033A2959" w:rsidR="003B1B5D">
        <w:rPr>
          <w:rFonts w:ascii="melior" w:hAnsi="melior" w:eastAsia="melior" w:cs="melior"/>
          <w:i w:val="1"/>
          <w:iCs w:val="1"/>
          <w:sz w:val="24"/>
          <w:szCs w:val="24"/>
        </w:rPr>
        <w:t xml:space="preserve">This report should be </w:t>
      </w:r>
      <w:r w:rsidRPr="033A2959" w:rsidR="003B1B5D">
        <w:rPr>
          <w:rFonts w:ascii="melior" w:hAnsi="melior" w:eastAsia="melior" w:cs="melior"/>
          <w:b w:val="0"/>
          <w:bCs w:val="0"/>
          <w:i w:val="1"/>
          <w:iCs w:val="1"/>
          <w:sz w:val="24"/>
          <w:szCs w:val="24"/>
        </w:rPr>
        <w:t>no longer than three legible pages</w:t>
      </w:r>
      <w:r w:rsidRPr="033A2959" w:rsidR="64C522F2">
        <w:rPr>
          <w:rFonts w:ascii="melior" w:hAnsi="melior" w:eastAsia="melior" w:cs="melior"/>
          <w:b w:val="0"/>
          <w:bCs w:val="0"/>
          <w:i w:val="1"/>
          <w:iCs w:val="1"/>
          <w:sz w:val="24"/>
          <w:szCs w:val="24"/>
        </w:rPr>
        <w:t xml:space="preserve"> and less than 900 words</w:t>
      </w:r>
      <w:r w:rsidRPr="033A2959" w:rsidR="005C7EF3">
        <w:rPr>
          <w:rFonts w:ascii="melior" w:hAnsi="melior" w:eastAsia="melior" w:cs="melior"/>
          <w:b w:val="0"/>
          <w:bCs w:val="0"/>
          <w:i w:val="1"/>
          <w:iCs w:val="1"/>
          <w:sz w:val="24"/>
          <w:szCs w:val="24"/>
        </w:rPr>
        <w:t>.</w:t>
      </w:r>
    </w:p>
    <w:p w:rsidR="004A305C" w:rsidP="033A2959" w:rsidRDefault="004A305C" w14:paraId="2CB0B6E0" w14:textId="5BFF8BB8">
      <w:pPr>
        <w:spacing w:before="100" w:beforeAutospacing="on" w:after="100" w:afterAutospacing="on"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Only full professors will have sixth-year post-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tenure</w:t>
      </w:r>
      <w:r w:rsidRPr="033A2959" w:rsidR="7208D8C5">
        <w:rPr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reviews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. Tenured bargaining unit faculty members will have a review in the sixth year following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promotion to full professor or after a sixth-year post-tenure review</w:t>
      </w:r>
      <w:r w:rsidRPr="033A2959" w:rsidR="004A305C">
        <w:rPr>
          <w:rFonts w:ascii="melior" w:hAnsi="melior" w:eastAsia="melior" w:cs="melior"/>
          <w:i w:val="1"/>
          <w:iCs w:val="1"/>
          <w:sz w:val="24"/>
          <w:szCs w:val="24"/>
        </w:rPr>
        <w:t>.</w:t>
      </w:r>
    </w:p>
    <w:p w:rsidR="033A2959" w:rsidP="033A2959" w:rsidRDefault="033A2959" w14:paraId="55CE6016" w14:textId="3800F38D">
      <w:pPr>
        <w:pStyle w:val="Normal"/>
        <w:spacing w:beforeAutospacing="on" w:afterAutospacing="on"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</w:p>
    <w:p w:rsidR="005C7EF3" w:rsidP="033A2959" w:rsidRDefault="005C7EF3" w14:paraId="62A8BE90" w14:textId="508150DE">
      <w:pPr>
        <w:spacing w:before="100" w:beforeAutospacing="on" w:after="100" w:afterAutospacing="on"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The primary functions of post-tenure review are faculty development and the identification of clear expectations and areas for improvement over the next review period. Post-tenure reviews are 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>required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 for all tenured faculty except those who hold full-time administrative appointments or who have had approved 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>leave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 without pay (LWOP) for reasons not related to their own research.</w:t>
      </w:r>
    </w:p>
    <w:p w:rsidR="033A2959" w:rsidP="033A2959" w:rsidRDefault="033A2959" w14:paraId="7F598424" w14:textId="2994AE6D">
      <w:pPr>
        <w:pStyle w:val="Normal"/>
        <w:spacing w:beforeAutospacing="on" w:afterAutospacing="on"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</w:p>
    <w:p w:rsidRPr="005C7EF3" w:rsidR="005C7EF3" w:rsidP="033A2959" w:rsidRDefault="005C7EF3" w14:paraId="7EA385AE" w14:textId="367E11B6">
      <w:pPr>
        <w:spacing w:before="100" w:beforeAutospacing="on" w:after="100" w:afterAutospacing="on"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Criteria for </w:t>
      </w:r>
      <w:r w:rsidRPr="033A2959" w:rsidR="00075061">
        <w:rPr>
          <w:rFonts w:ascii="melior" w:hAnsi="melior" w:eastAsia="melior" w:cs="melior"/>
          <w:i w:val="1"/>
          <w:iCs w:val="1"/>
          <w:sz w:val="24"/>
          <w:szCs w:val="24"/>
        </w:rPr>
        <w:t xml:space="preserve">formal 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post-tenure reviews, modified 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>in light of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 any written agreement with the faculty member, ar</w:t>
      </w:r>
      <w:r w:rsidRPr="033A2959" w:rsidR="00075061">
        <w:rPr>
          <w:rFonts w:ascii="melior" w:hAnsi="melior" w:eastAsia="melior" w:cs="melior"/>
          <w:i w:val="1"/>
          <w:iCs w:val="1"/>
          <w:sz w:val="24"/>
          <w:szCs w:val="24"/>
        </w:rPr>
        <w:t>e listed below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>.</w:t>
      </w:r>
      <w:r w:rsidRPr="033A2959" w:rsidR="005C7EF3">
        <w:rPr>
          <w:rFonts w:ascii="melior" w:hAnsi="melior" w:eastAsia="melior" w:cs="melior"/>
          <w:i w:val="1"/>
          <w:iCs w:val="1"/>
          <w:sz w:val="24"/>
          <w:szCs w:val="24"/>
        </w:rPr>
        <w:t xml:space="preserve"> Specific expectations and criteria for post-tenure review should be included in unit promotion and tenure policies.</w:t>
      </w:r>
    </w:p>
    <w:p w:rsidR="00871851" w:rsidP="033A2959" w:rsidRDefault="00871851" w14:paraId="531C5224" w14:textId="3EDA9BB7">
      <w:pPr>
        <w:pStyle w:val="Normal"/>
        <w:spacing w:after="0" w:afterAutospacing="off"/>
        <w:rPr>
          <w:rFonts w:ascii="melior" w:hAnsi="melior" w:eastAsia="melior" w:cs="melior"/>
          <w:b w:val="1"/>
          <w:bCs w:val="1"/>
          <w:i w:val="1"/>
          <w:iCs w:val="1"/>
          <w:color w:val="auto"/>
          <w:sz w:val="24"/>
          <w:szCs w:val="24"/>
        </w:rPr>
      </w:pPr>
    </w:p>
    <w:p w:rsidR="00871851" w:rsidP="033A2959" w:rsidRDefault="00871851" w14:paraId="4B087095" w14:textId="07916FC1">
      <w:pPr>
        <w:pStyle w:val="Normal"/>
        <w:spacing w:after="0" w:afterAutospacing="off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7A2CD7CD">
        <w:rPr>
          <w:rFonts w:ascii="melior" w:hAnsi="melior" w:eastAsia="melior" w:cs="melior"/>
          <w:b w:val="1"/>
          <w:bCs w:val="1"/>
          <w:i w:val="1"/>
          <w:iCs w:val="1"/>
          <w:color w:val="auto"/>
          <w:sz w:val="24"/>
          <w:szCs w:val="24"/>
        </w:rPr>
        <w:t>Post-Tenure Review Criteria</w:t>
      </w:r>
      <w:r w:rsidRPr="033A2959" w:rsidR="7A2CD7C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. Review criteria for third- and sixth-year post-tenure</w:t>
      </w:r>
      <w:r>
        <w:br/>
      </w:r>
      <w:r w:rsidRPr="033A2959" w:rsidR="7A2CD7C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review are as follows, unless a department or unit has an approved unit-level policy </w:t>
      </w:r>
      <w:r w:rsidRPr="033A2959" w:rsidR="7A2CD7C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establishing</w:t>
      </w:r>
      <w:r w:rsidRPr="033A2959" w:rsidR="7A2CD7C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their own post-tenure review criteria through the process specified in Article 4 of the CBA. </w:t>
      </w:r>
      <w:r>
        <w:br/>
      </w:r>
      <w:r>
        <w:br/>
      </w:r>
      <w:r w:rsidRPr="033A2959" w:rsidR="7A2CD7C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In cases where a tenured faculty member has a workload other than the standard tenure-track workload in the department or unit (e.g., with larger teaching and smaller research FTE, or vice versa) or is working under a development plan, the standard for meeting expectations in a third- or sixth-year review will be established by these alternate arrangements and informed by the unit-level policy and the guidelines below.</w:t>
      </w:r>
      <w:r>
        <w:br/>
      </w:r>
    </w:p>
    <w:p w:rsidR="00871851" w:rsidP="033A2959" w:rsidRDefault="00871851" w14:paraId="659E1936" w14:textId="4342CE2C">
      <w:pPr>
        <w:pStyle w:val="Normal"/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b w:val="1"/>
          <w:bCs w:val="1"/>
          <w:i w:val="0"/>
          <w:iCs w:val="0"/>
          <w:noProof w:val="0"/>
          <w:color w:val="1F3864" w:themeColor="accent1" w:themeTint="FF" w:themeShade="80"/>
          <w:sz w:val="24"/>
          <w:szCs w:val="24"/>
          <w:lang w:val="en-US"/>
        </w:rPr>
      </w:pPr>
    </w:p>
    <w:p w:rsidR="00871851" w:rsidP="033A2959" w:rsidRDefault="00871851" w14:paraId="3D70A3C9" w14:textId="44085B18">
      <w:pPr>
        <w:pStyle w:val="Heading1"/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</w:pPr>
      <w:r w:rsidRPr="033A2959" w:rsidR="0349A3CF">
        <w:rPr>
          <w:rFonts w:ascii="melior" w:hAnsi="melior" w:eastAsia="melior" w:cs="melior"/>
          <w:b w:val="0"/>
          <w:bCs w:val="0"/>
          <w:i w:val="1"/>
          <w:iCs w:val="1"/>
          <w:caps w:val="0"/>
          <w:smallCaps w:val="0"/>
          <w:noProof w:val="0"/>
          <w:color w:val="5B9AD5"/>
          <w:sz w:val="24"/>
          <w:szCs w:val="24"/>
          <w:lang w:val="en-US"/>
        </w:rPr>
        <w:t>*Use your departmental letterhead</w:t>
      </w:r>
    </w:p>
    <w:p w:rsidR="00871851" w:rsidP="033A2959" w:rsidRDefault="00871851" w14:paraId="071E9C4B" w14:textId="6905CDBB">
      <w:pPr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</w:pPr>
    </w:p>
    <w:p w:rsidR="00871851" w:rsidP="033A2959" w:rsidRDefault="00871851" w14:paraId="5E428114" w14:textId="6CCB824C">
      <w:pPr>
        <w:pStyle w:val="Heading1"/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</w:pP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To: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  <w:t xml:space="preserve"> &lt;DEAN&gt;</w:t>
      </w:r>
    </w:p>
    <w:p w:rsidR="00871851" w:rsidP="033A2959" w:rsidRDefault="00871851" w14:paraId="19141012" w14:textId="1D482CD4">
      <w:pPr>
        <w:pStyle w:val="Heading1"/>
        <w:keepNext w:val="1"/>
        <w:keepLines w:val="1"/>
        <w:spacing w:before="0" w:beforeAutospacing="off" w:after="0" w:afterAutospacing="off" w:line="240" w:lineRule="auto"/>
        <w:rPr>
          <w:rFonts w:ascii="melior" w:hAnsi="melior" w:eastAsia="melior" w:cs="melior"/>
          <w:b w:val="1"/>
          <w:bCs w:val="1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</w:pP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From: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  <w:t xml:space="preserve"> 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  <w:t>&lt;UNIT/DEPARTMENT HEAD NAME, UNIT NAME&gt;</w:t>
      </w:r>
    </w:p>
    <w:p w:rsidR="00871851" w:rsidP="033A2959" w:rsidRDefault="00871851" w14:paraId="3EEA2DCA" w14:textId="6CE00464">
      <w:pPr>
        <w:pStyle w:val="Normal"/>
        <w:keepNext w:val="1"/>
        <w:keepLines w:val="1"/>
        <w:rPr>
          <w:rFonts w:ascii="melior" w:hAnsi="melior" w:eastAsia="melior" w:cs="melior"/>
          <w:sz w:val="24"/>
          <w:szCs w:val="24"/>
        </w:rPr>
      </w:pP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Re: Department Head’s Report for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  <w:t>&lt;CANDIDATE’S NAME&gt;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  <w:t xml:space="preserve">, 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6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033A2959" w:rsidR="0349A3CF">
        <w:rPr>
          <w:rFonts w:ascii="melior" w:hAnsi="melior" w:eastAsia="melior" w:cs="melior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Year Post-Tenure Review</w:t>
      </w:r>
    </w:p>
    <w:p w:rsidR="00871851" w:rsidP="033A2959" w:rsidRDefault="00871851" w14:paraId="03BCC18F" w14:textId="2CD4833F">
      <w:pPr>
        <w:pStyle w:val="Heading1"/>
        <w:spacing w:after="240"/>
        <w:rPr>
          <w:rFonts w:ascii="melior" w:hAnsi="melior" w:eastAsia="melior" w:cs="melior"/>
          <w:color w:val="auto"/>
          <w:sz w:val="24"/>
          <w:szCs w:val="24"/>
          <w:u w:val="single"/>
        </w:rPr>
      </w:pPr>
      <w:r w:rsidRPr="033A2959" w:rsidR="586D4DFB">
        <w:rPr>
          <w:rFonts w:ascii="melior" w:hAnsi="melior" w:eastAsia="melior" w:cs="melior"/>
          <w:color w:val="auto"/>
          <w:sz w:val="24"/>
          <w:szCs w:val="24"/>
          <w:u w:val="single"/>
        </w:rPr>
        <w:t>Unit/</w:t>
      </w:r>
      <w:r w:rsidRPr="033A2959" w:rsidR="00871851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Department Head’s </w:t>
      </w:r>
      <w:r w:rsidRPr="033A2959" w:rsidR="40C487C9">
        <w:rPr>
          <w:rFonts w:ascii="melior" w:hAnsi="melior" w:eastAsia="melior" w:cs="melior"/>
          <w:color w:val="auto"/>
          <w:sz w:val="24"/>
          <w:szCs w:val="24"/>
          <w:u w:val="single"/>
        </w:rPr>
        <w:t>I</w:t>
      </w:r>
      <w:r w:rsidRPr="033A2959" w:rsidR="00871851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ndependent </w:t>
      </w:r>
      <w:r w:rsidRPr="033A2959" w:rsidR="2BFD357B">
        <w:rPr>
          <w:rFonts w:ascii="melior" w:hAnsi="melior" w:eastAsia="melior" w:cs="melior"/>
          <w:color w:val="auto"/>
          <w:sz w:val="24"/>
          <w:szCs w:val="24"/>
          <w:u w:val="single"/>
        </w:rPr>
        <w:t>E</w:t>
      </w:r>
      <w:r w:rsidRPr="033A2959" w:rsidR="00871851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valuation and </w:t>
      </w:r>
      <w:r w:rsidRPr="033A2959" w:rsidR="1B85095F">
        <w:rPr>
          <w:rFonts w:ascii="melior" w:hAnsi="melior" w:eastAsia="melior" w:cs="melior"/>
          <w:color w:val="auto"/>
          <w:sz w:val="24"/>
          <w:szCs w:val="24"/>
          <w:u w:val="single"/>
        </w:rPr>
        <w:t>R</w:t>
      </w:r>
      <w:r w:rsidRPr="033A2959" w:rsidR="00871851">
        <w:rPr>
          <w:rFonts w:ascii="melior" w:hAnsi="melior" w:eastAsia="melior" w:cs="melior"/>
          <w:color w:val="auto"/>
          <w:sz w:val="24"/>
          <w:szCs w:val="24"/>
          <w:u w:val="single"/>
        </w:rPr>
        <w:t>ecommendation</w:t>
      </w:r>
    </w:p>
    <w:p w:rsidR="005D781D" w:rsidP="033A2959" w:rsidRDefault="00075061" w14:paraId="43A50F26" w14:textId="0A50281F">
      <w:pPr>
        <w:pStyle w:val="Normal"/>
        <w:rPr>
          <w:color w:val="auto"/>
          <w:sz w:val="24"/>
          <w:szCs w:val="24"/>
        </w:rPr>
      </w:pPr>
    </w:p>
    <w:p w:rsidR="005D781D" w:rsidP="033A2959" w:rsidRDefault="00075061" w14:paraId="0CE9E098" w14:textId="2EBD7858">
      <w:pPr>
        <w:pStyle w:val="Normal"/>
        <w:spacing w:after="120" w:afterAutospacing="off"/>
        <w:rPr>
          <w:rStyle w:val="Heading2Char"/>
          <w:rFonts w:ascii="melior" w:hAnsi="melior" w:eastAsia="melior" w:cs="melior"/>
          <w:color w:val="auto"/>
          <w:sz w:val="24"/>
          <w:szCs w:val="24"/>
        </w:rPr>
      </w:pPr>
      <w:r>
        <w:br/>
      </w:r>
      <w:r w:rsidRPr="033A2959" w:rsidR="005D781D">
        <w:rPr>
          <w:rStyle w:val="Heading2Char"/>
          <w:rFonts w:ascii="melior" w:hAnsi="melior" w:eastAsia="melior" w:cs="melior"/>
          <w:color w:val="auto"/>
          <w:sz w:val="24"/>
          <w:szCs w:val="24"/>
          <w:u w:val="single"/>
        </w:rPr>
        <w:t xml:space="preserve">Assess </w:t>
      </w:r>
      <w:r w:rsidRPr="033A2959" w:rsidR="5206B797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US"/>
        </w:rPr>
        <w:t>C</w:t>
      </w:r>
      <w:r w:rsidRPr="033A2959" w:rsidR="57BA605B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US"/>
        </w:rPr>
        <w:t>andidate</w:t>
      </w:r>
      <w:r w:rsidRPr="033A2959" w:rsidR="0EC9F4C3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US"/>
        </w:rPr>
        <w:t>’s</w:t>
      </w:r>
      <w:r w:rsidRPr="033A2959" w:rsidR="005D781D">
        <w:rPr>
          <w:rStyle w:val="Heading2Char"/>
          <w:rFonts w:ascii="melior" w:hAnsi="melior" w:eastAsia="melior" w:cs="melior"/>
          <w:color w:val="auto"/>
          <w:sz w:val="24"/>
          <w:szCs w:val="24"/>
          <w:u w:val="single"/>
        </w:rPr>
        <w:t xml:space="preserve"> </w:t>
      </w:r>
      <w:r w:rsidRPr="033A2959" w:rsidR="15C8AACD">
        <w:rPr>
          <w:rStyle w:val="Heading2Char"/>
          <w:rFonts w:ascii="melior" w:hAnsi="melior" w:eastAsia="melior" w:cs="melior"/>
          <w:color w:val="auto"/>
          <w:sz w:val="24"/>
          <w:szCs w:val="24"/>
          <w:u w:val="single"/>
        </w:rPr>
        <w:t>T</w:t>
      </w:r>
      <w:r w:rsidRPr="033A2959" w:rsidR="005D781D">
        <w:rPr>
          <w:rStyle w:val="Heading2Char"/>
          <w:rFonts w:ascii="melior" w:hAnsi="melior" w:eastAsia="melior" w:cs="melior"/>
          <w:color w:val="auto"/>
          <w:sz w:val="24"/>
          <w:szCs w:val="24"/>
          <w:u w:val="single"/>
        </w:rPr>
        <w:t>eaching</w:t>
      </w:r>
    </w:p>
    <w:p w:rsidRPr="005D781D" w:rsidR="005D781D" w:rsidP="033A2959" w:rsidRDefault="005D781D" w14:paraId="4C10B629" w14:textId="38292C2B">
      <w:pPr>
        <w:spacing w:after="240" w:afterAutospacing="off"/>
        <w:rPr>
          <w:rFonts w:ascii="melior" w:hAnsi="melior" w:eastAsia="melior" w:cs="melior"/>
          <w:b w:val="1"/>
          <w:bCs w:val="1"/>
          <w:color w:val="auto"/>
          <w:sz w:val="24"/>
          <w:szCs w:val="24"/>
        </w:rPr>
      </w:pPr>
      <w:r w:rsidRPr="033A2959" w:rsidR="005D781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Teaching standards as </w:t>
      </w:r>
      <w:r w:rsidRPr="033A2959" w:rsidR="005D781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established</w:t>
      </w:r>
      <w:r w:rsidRPr="033A2959" w:rsidR="005D781D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by the University Senate.</w:t>
      </w:r>
    </w:p>
    <w:p w:rsidRPr="009239CA" w:rsidR="005D781D" w:rsidP="033A2959" w:rsidRDefault="005D781D" w14:paraId="7AB3CD87" w14:textId="2AF9C7B7">
      <w:pPr>
        <w:pStyle w:val="Heading2"/>
        <w:spacing w:after="120" w:afterAutospacing="off"/>
        <w:rPr>
          <w:rFonts w:ascii="melior" w:hAnsi="melior" w:eastAsia="melior" w:cs="melior"/>
          <w:color w:val="auto"/>
          <w:sz w:val="24"/>
          <w:szCs w:val="24"/>
        </w:rPr>
      </w:pP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>Assess</w:t>
      </w:r>
      <w:r w:rsidRPr="033A2959" w:rsidR="666B4A58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 Candidate</w:t>
      </w:r>
      <w:r w:rsidRPr="033A2959" w:rsidR="47B1002B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US"/>
        </w:rPr>
        <w:t>’s</w:t>
      </w: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 </w:t>
      </w:r>
      <w:r w:rsidRPr="033A2959" w:rsidR="0550CC95">
        <w:rPr>
          <w:rFonts w:ascii="melior" w:hAnsi="melior" w:eastAsia="melior" w:cs="melior"/>
          <w:color w:val="auto"/>
          <w:sz w:val="24"/>
          <w:szCs w:val="24"/>
          <w:u w:val="single"/>
        </w:rPr>
        <w:t>R</w:t>
      </w:r>
      <w:r w:rsidRPr="033A2959" w:rsidR="34D31C00">
        <w:rPr>
          <w:rFonts w:ascii="melior" w:hAnsi="melior" w:eastAsia="melior" w:cs="melior"/>
          <w:color w:val="auto"/>
          <w:sz w:val="24"/>
          <w:szCs w:val="24"/>
          <w:u w:val="single"/>
        </w:rPr>
        <w:t>esearch</w:t>
      </w:r>
      <w:r w:rsidRPr="033A2959" w:rsidR="782A847C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 and/or</w:t>
      </w:r>
      <w:r w:rsidRPr="033A2959" w:rsidR="34D31C00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 </w:t>
      </w:r>
      <w:r w:rsidRPr="033A2959" w:rsidR="012CC44B">
        <w:rPr>
          <w:rFonts w:ascii="melior" w:hAnsi="melior" w:eastAsia="melior" w:cs="melior"/>
          <w:color w:val="auto"/>
          <w:sz w:val="24"/>
          <w:szCs w:val="24"/>
          <w:u w:val="single"/>
        </w:rPr>
        <w:t>C</w:t>
      </w: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>reative</w:t>
      </w: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 and </w:t>
      </w:r>
      <w:r w:rsidRPr="033A2959" w:rsidR="4CBAFC04">
        <w:rPr>
          <w:rFonts w:ascii="melior" w:hAnsi="melior" w:eastAsia="melior" w:cs="melior"/>
          <w:color w:val="auto"/>
          <w:sz w:val="24"/>
          <w:szCs w:val="24"/>
          <w:u w:val="single"/>
        </w:rPr>
        <w:t>A</w:t>
      </w: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 xml:space="preserve">rtistic </w:t>
      </w:r>
      <w:r w:rsidRPr="033A2959" w:rsidR="178D8A00">
        <w:rPr>
          <w:rFonts w:ascii="melior" w:hAnsi="melior" w:eastAsia="melior" w:cs="melior"/>
          <w:color w:val="auto"/>
          <w:sz w:val="24"/>
          <w:szCs w:val="24"/>
          <w:u w:val="single"/>
        </w:rPr>
        <w:t>A</w:t>
      </w:r>
      <w:r w:rsidRPr="033A2959" w:rsidR="005D781D">
        <w:rPr>
          <w:rFonts w:ascii="melior" w:hAnsi="melior" w:eastAsia="melior" w:cs="melior"/>
          <w:color w:val="auto"/>
          <w:sz w:val="24"/>
          <w:szCs w:val="24"/>
          <w:u w:val="single"/>
        </w:rPr>
        <w:t>chievement</w:t>
      </w:r>
    </w:p>
    <w:p w:rsidRPr="00B763BA" w:rsidR="00FB16E5" w:rsidP="033A2959" w:rsidRDefault="00FB16E5" w14:paraId="68101800" w14:textId="0E8D090B">
      <w:pPr>
        <w:spacing w:after="120" w:afterAutospacing="off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In general, research, scholarship, and creative achievement </w:t>
      </w:r>
      <w:r w:rsidRPr="033A2959" w:rsidR="5D0984F4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are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demonstrated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in the following categories.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Each category applies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in a given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case only if that category is specified in the unit promotion and tenure policy.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The standards of evaluation, unless otherwise specified by the unit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policy, will be the standards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established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for promotion to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full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professor. Some categories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to be considered include:</w:t>
      </w:r>
    </w:p>
    <w:p w:rsidR="00FB16E5" w:rsidP="033A2959" w:rsidRDefault="00FB16E5" w14:paraId="4C759AD4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publications and/or creative activities of significance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and;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56C1A742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externally funded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research;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5E3A6C8F" w14:textId="458395E8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patents, intellectual property developed; technologies licensed, companies spun-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off;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0263A523" w14:textId="1ADA02A2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adoptions of research innovations by other researchers, organizations, or the</w:t>
      </w:r>
      <w:r w:rsidRPr="033A2959" w:rsidR="5A037C88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public;</w:t>
      </w:r>
    </w:p>
    <w:p w:rsidR="00FB16E5" w:rsidP="033A2959" w:rsidRDefault="00FB16E5" w14:paraId="43C2D481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research awards and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prizes;</w:t>
      </w:r>
    </w:p>
    <w:p w:rsidR="00FB16E5" w:rsidP="033A2959" w:rsidRDefault="00FB16E5" w14:paraId="245F39D3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membership in the national academies or other selective research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societies;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743A1FC7" w14:textId="7864CA7A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research in progress and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substantially planned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work (including grant proposals);</w:t>
      </w:r>
      <w:r>
        <w:br/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h. translational research or scholarship that influences public policy or contributes to</w:t>
      </w:r>
      <w:r w:rsidRPr="033A2959" w:rsidR="22B4657F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societal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benefits;</w:t>
      </w:r>
    </w:p>
    <w:p w:rsidR="00FB16E5" w:rsidP="033A2959" w:rsidRDefault="00FB16E5" w14:paraId="74E2041C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participation in conferences, conventions, seminars, and professional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meetings;</w:t>
      </w:r>
    </w:p>
    <w:p w:rsidR="00FB16E5" w:rsidP="033A2959" w:rsidRDefault="00FB16E5" w14:paraId="1DC498E4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professional peer review, holding office in academic and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professional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1A2A19E7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organizations, serving on committees and/or on editorial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boards;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</w:p>
    <w:p w:rsidR="00FB16E5" w:rsidP="033A2959" w:rsidRDefault="00FB16E5" w14:paraId="5C3079CC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association with organizations and groups that will result in professional</w:t>
      </w:r>
      <w:r>
        <w:br/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improvement of the faculty member and bring recognition to the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university;</w:t>
      </w:r>
    </w:p>
    <w:p w:rsidR="00FB16E5" w:rsidP="033A2959" w:rsidRDefault="00FB16E5" w14:paraId="4ABD80DE" w14:textId="4C2A3186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research or professional consultation for federal agencies, foundations, or other</w:t>
      </w:r>
      <w:r w:rsidRPr="033A2959" w:rsidR="142EF2DF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research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sponsors;</w:t>
      </w:r>
    </w:p>
    <w:p w:rsidR="00FB16E5" w:rsidP="033A2959" w:rsidRDefault="00FB16E5" w14:paraId="6305A4DB" w14:textId="77777777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recognized evidence of scholarly and professional visibility, such as special</w:t>
      </w:r>
      <w:r>
        <w:br/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awards, scholarly citations, and the republication of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work;</w:t>
      </w:r>
    </w:p>
    <w:p w:rsidR="00FB16E5" w:rsidP="033A2959" w:rsidRDefault="00FB16E5" w14:paraId="6A924816" w14:textId="6B48FA1F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scope and depth of scholarship as revealed in public lectures, book reviews,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and,</w:t>
      </w:r>
      <w:r w:rsidRPr="033A2959" w:rsidR="0C55A1DA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in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special circumstances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, discussions;</w:t>
      </w:r>
    </w:p>
    <w:p w:rsidR="00FB16E5" w:rsidP="033A2959" w:rsidRDefault="00FB16E5" w14:paraId="08E46EBA" w14:textId="16889DE3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works of art, such as painting, sculpture, design, planning, musical composition,</w:t>
      </w:r>
      <w:r w:rsidRPr="033A2959" w:rsidR="63B9E9B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poetry, fiction, drama, dance, photography, and film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disseminated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or exhibited in</w:t>
      </w:r>
      <w:r w:rsidRPr="033A2959" w:rsidR="2A1714C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recognized venues of quality and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distinction;</w:t>
      </w:r>
    </w:p>
    <w:p w:rsidR="00FB16E5" w:rsidP="033A2959" w:rsidRDefault="00FB16E5" w14:paraId="3E789D47" w14:textId="3B901A8E">
      <w:pPr>
        <w:pStyle w:val="ListParagraph"/>
        <w:numPr>
          <w:ilvl w:val="0"/>
          <w:numId w:val="25"/>
        </w:numPr>
        <w:ind w:left="900"/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public performances: musical recitals, concerts, conducting, theater performance</w:t>
      </w:r>
      <w:r w:rsidRPr="033A2959" w:rsidR="0DD91E48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and production, dance performance and production, radio or television production</w:t>
      </w:r>
      <w:r w:rsidRPr="033A2959" w:rsidR="759F92BC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disseminated/exhibited in recognized venues of quality and </w:t>
      </w: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distinction;</w:t>
      </w:r>
    </w:p>
    <w:p w:rsidRPr="00B763BA" w:rsidR="00FB16E5" w:rsidP="033A2959" w:rsidRDefault="00FB16E5" w14:paraId="3436801D" w14:textId="2C791F39">
      <w:pPr>
        <w:pStyle w:val="ListParagraph"/>
        <w:numPr>
          <w:ilvl w:val="0"/>
          <w:numId w:val="25"/>
        </w:numPr>
        <w:spacing w:after="240" w:afterAutospacing="off"/>
        <w:ind w:left="900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>public recognition: exhibitions, commissions, acceptance of work for permanent</w:t>
      </w:r>
      <w:r w:rsidRPr="033A2959" w:rsidR="6F9113FF">
        <w:rPr>
          <w:rFonts w:ascii="melior" w:hAnsi="melior" w:eastAsia="melior" w:cs="melior"/>
          <w:i w:val="1"/>
          <w:iCs w:val="1"/>
          <w:color w:val="auto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collections, awards.</w:t>
      </w:r>
    </w:p>
    <w:p w:rsidR="00FB16E5" w:rsidP="033A2959" w:rsidRDefault="00FB16E5" w14:paraId="29DDB1C7" w14:textId="333A15B2">
      <w:pPr>
        <w:pStyle w:val="Heading2"/>
        <w:spacing w:after="120" w:afterAutospacing="off"/>
        <w:rPr>
          <w:rFonts w:ascii="melior" w:hAnsi="melior" w:eastAsia="melior" w:cs="melior"/>
          <w:sz w:val="24"/>
          <w:szCs w:val="24"/>
          <w:u w:val="single"/>
        </w:rPr>
      </w:pPr>
      <w:r w:rsidRPr="033A2959" w:rsidR="00FB16E5">
        <w:rPr>
          <w:rFonts w:ascii="melior" w:hAnsi="melior" w:eastAsia="melior" w:cs="melior"/>
          <w:sz w:val="24"/>
          <w:szCs w:val="24"/>
          <w:u w:val="single"/>
        </w:rPr>
        <w:t xml:space="preserve">Assess </w:t>
      </w:r>
      <w:r w:rsidRPr="033A2959" w:rsidR="7DB03224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C</w:t>
      </w:r>
      <w:r w:rsidRPr="033A2959" w:rsidR="0118CDC6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andidate</w:t>
      </w:r>
      <w:r w:rsidRPr="033A2959" w:rsidR="1C63B5D2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’s</w:t>
      </w:r>
      <w:r w:rsidRPr="033A2959" w:rsidR="00FB16E5">
        <w:rPr>
          <w:rFonts w:ascii="melior" w:hAnsi="melior" w:eastAsia="melior" w:cs="melior"/>
          <w:sz w:val="24"/>
          <w:szCs w:val="24"/>
          <w:u w:val="single"/>
        </w:rPr>
        <w:t xml:space="preserve"> </w:t>
      </w:r>
      <w:r w:rsidRPr="033A2959" w:rsidR="5A91C927">
        <w:rPr>
          <w:rFonts w:ascii="melior" w:hAnsi="melior" w:eastAsia="melior" w:cs="melior"/>
          <w:sz w:val="24"/>
          <w:szCs w:val="24"/>
          <w:u w:val="single"/>
        </w:rPr>
        <w:t>S</w:t>
      </w:r>
      <w:r w:rsidRPr="033A2959" w:rsidR="00FB16E5">
        <w:rPr>
          <w:rFonts w:ascii="melior" w:hAnsi="melior" w:eastAsia="melior" w:cs="melior"/>
          <w:sz w:val="24"/>
          <w:szCs w:val="24"/>
          <w:u w:val="single"/>
        </w:rPr>
        <w:t>ervice</w:t>
      </w:r>
    </w:p>
    <w:p w:rsidRPr="00B763BA" w:rsidR="00FB16E5" w:rsidP="033A2959" w:rsidRDefault="00FB16E5" w14:paraId="38F9DF95" w14:textId="77777777">
      <w:pPr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Consistent with promotion to full professor as specified in the collective bargaining agreement, senior faculty are expected to engage in significant service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demonstrating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 leadership and commitment both within and outside the candidate’s department or unit. Service must include some of the following:</w:t>
      </w:r>
    </w:p>
    <w:p w:rsidRPr="00D554DD" w:rsidR="00FB16E5" w:rsidP="033A2959" w:rsidRDefault="00FB16E5" w14:paraId="386E5DE1" w14:textId="541402AE">
      <w:pPr>
        <w:pStyle w:val="ListParagraph"/>
        <w:numPr>
          <w:ilvl w:val="0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leadership in academic and administrative roles:</w:t>
      </w:r>
    </w:p>
    <w:p w:rsidRPr="00D554DD" w:rsidR="00FB16E5" w:rsidP="033A2959" w:rsidRDefault="00FB16E5" w14:paraId="7A67992B" w14:textId="4DA54737">
      <w:pPr>
        <w:pStyle w:val="ListParagraph"/>
        <w:numPr>
          <w:ilvl w:val="1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academic program area or departmental administration and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curriculum;</w:t>
      </w:r>
    </w:p>
    <w:p w:rsidRPr="00D554DD" w:rsidR="00FB16E5" w:rsidP="033A2959" w:rsidRDefault="00FB16E5" w14:paraId="4CFE5584" w14:textId="458C5EF3">
      <w:pPr>
        <w:pStyle w:val="ListParagraph"/>
        <w:numPr>
          <w:ilvl w:val="1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personnel and policy committees or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activities;</w:t>
      </w:r>
    </w:p>
    <w:p w:rsidRPr="00D554DD" w:rsidR="00FB16E5" w:rsidP="033A2959" w:rsidRDefault="00FB16E5" w14:paraId="3E1464B3" w14:textId="3E1C80AA">
      <w:pPr>
        <w:pStyle w:val="ListParagraph"/>
        <w:numPr>
          <w:ilvl w:val="1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college or school administration and committees or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activities;</w:t>
      </w:r>
    </w:p>
    <w:p w:rsidRPr="00D554DD" w:rsidR="00FB16E5" w:rsidP="033A2959" w:rsidRDefault="00FB16E5" w14:paraId="76965DF5" w14:textId="7393D4D7">
      <w:pPr>
        <w:pStyle w:val="ListParagraph"/>
        <w:numPr>
          <w:ilvl w:val="1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university or state system administration and committees or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activities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;</w:t>
      </w:r>
    </w:p>
    <w:p w:rsidRPr="00D554DD" w:rsidR="00FB16E5" w:rsidP="033A2959" w:rsidRDefault="00FB16E5" w14:paraId="684481AC" w14:textId="1528BFAA">
      <w:pPr>
        <w:pStyle w:val="ListParagraph"/>
        <w:numPr>
          <w:ilvl w:val="0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service and activities on behalf of the larger community (local, state, national, and</w:t>
      </w:r>
      <w:r w:rsidRPr="033A2959" w:rsidR="340F5FCD">
        <w:rPr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international governmental bodies, NGOs, etc.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);</w:t>
      </w:r>
    </w:p>
    <w:p w:rsidRPr="00D554DD" w:rsidR="00FB16E5" w:rsidP="033A2959" w:rsidRDefault="00FB16E5" w14:paraId="4EC22CCA" w14:textId="64C201BA">
      <w:pPr>
        <w:pStyle w:val="ListParagraph"/>
        <w:numPr>
          <w:ilvl w:val="0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academic contributions to community activities, either as an individual or as a</w:t>
      </w:r>
      <w:r w:rsidRPr="033A2959" w:rsidR="4E4007E6">
        <w:rPr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representative of the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university;</w:t>
      </w:r>
    </w:p>
    <w:p w:rsidRPr="00D554DD" w:rsidR="00FB16E5" w:rsidP="033A2959" w:rsidRDefault="00FB16E5" w14:paraId="6E4EBA36" w14:textId="467141F1">
      <w:pPr>
        <w:pStyle w:val="ListParagraph"/>
        <w:numPr>
          <w:ilvl w:val="0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 xml:space="preserve">service to professional and disciplinary </w:t>
      </w: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organizations;</w:t>
      </w:r>
    </w:p>
    <w:p w:rsidRPr="00D554DD" w:rsidR="00FB16E5" w:rsidP="033A2959" w:rsidRDefault="00FB16E5" w14:paraId="4847CC2A" w14:textId="505150AC">
      <w:pPr>
        <w:pStyle w:val="ListParagraph"/>
        <w:numPr>
          <w:ilvl w:val="0"/>
          <w:numId w:val="29"/>
        </w:numPr>
        <w:spacing w:line="240" w:lineRule="auto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FB16E5">
        <w:rPr>
          <w:rFonts w:ascii="melior" w:hAnsi="melior" w:eastAsia="melior" w:cs="melior"/>
          <w:i w:val="1"/>
          <w:iCs w:val="1"/>
          <w:sz w:val="24"/>
          <w:szCs w:val="24"/>
        </w:rPr>
        <w:t>academic service on behalf of the public interest.</w:t>
      </w:r>
    </w:p>
    <w:p w:rsidR="000D08CA" w:rsidP="033A2959" w:rsidRDefault="00871851" w14:paraId="687606F7" w14:textId="591DC53E">
      <w:pPr>
        <w:pStyle w:val="Heading2"/>
        <w:spacing w:after="120" w:afterAutospacing="off"/>
        <w:rPr>
          <w:rFonts w:ascii="melior" w:hAnsi="melior" w:eastAsia="melior" w:cs="melior"/>
          <w:sz w:val="24"/>
          <w:szCs w:val="24"/>
          <w:u w:val="single"/>
        </w:rPr>
      </w:pPr>
      <w:r w:rsidRPr="033A2959" w:rsidR="58D9F083">
        <w:rPr>
          <w:rFonts w:ascii="melior" w:hAnsi="melior" w:eastAsia="melior" w:cs="melior"/>
          <w:sz w:val="24"/>
          <w:szCs w:val="24"/>
          <w:u w:val="single"/>
        </w:rPr>
        <w:t>A</w:t>
      </w:r>
      <w:r w:rsidRPr="033A2959" w:rsidR="00EE0EA4">
        <w:rPr>
          <w:rFonts w:ascii="melior" w:hAnsi="melior" w:eastAsia="melior" w:cs="melior"/>
          <w:sz w:val="24"/>
          <w:szCs w:val="24"/>
          <w:u w:val="single"/>
        </w:rPr>
        <w:t xml:space="preserve">ssess </w:t>
      </w:r>
      <w:r w:rsidRPr="033A2959" w:rsidR="43C206B2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C</w:t>
      </w:r>
      <w:r w:rsidRPr="033A2959" w:rsidR="20E402E7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andidate</w:t>
      </w:r>
      <w:r w:rsidRPr="033A2959" w:rsidR="102EE6F1">
        <w:rPr>
          <w:rStyle w:val="Heading2Char"/>
          <w:rFonts w:ascii="melior" w:hAnsi="melior" w:eastAsia="melior" w:cs="melior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’s</w:t>
      </w:r>
      <w:r w:rsidRPr="033A2959" w:rsidR="102EE6F1">
        <w:rPr>
          <w:rFonts w:ascii="melior" w:hAnsi="melior" w:eastAsia="melior" w:cs="melior"/>
          <w:sz w:val="24"/>
          <w:szCs w:val="24"/>
          <w:u w:val="single"/>
        </w:rPr>
        <w:t xml:space="preserve"> </w:t>
      </w:r>
      <w:r w:rsidRPr="033A2959" w:rsidR="243973CB">
        <w:rPr>
          <w:rFonts w:ascii="melior" w:hAnsi="melior" w:eastAsia="melior" w:cs="melior"/>
          <w:sz w:val="24"/>
          <w:szCs w:val="24"/>
          <w:u w:val="single"/>
        </w:rPr>
        <w:t>C</w:t>
      </w:r>
      <w:r w:rsidRPr="033A2959" w:rsidR="000D08CA">
        <w:rPr>
          <w:rFonts w:ascii="melior" w:hAnsi="melior" w:eastAsia="melior" w:cs="melior"/>
          <w:sz w:val="24"/>
          <w:szCs w:val="24"/>
          <w:u w:val="single"/>
        </w:rPr>
        <w:t>ontributions to DEI</w:t>
      </w:r>
    </w:p>
    <w:p w:rsidRPr="005D781D" w:rsidR="009239CA" w:rsidP="033A2959" w:rsidRDefault="005D781D" w14:paraId="013FF7FE" w14:textId="5E897BF8">
      <w:pPr>
        <w:spacing w:after="240" w:afterAutospacing="off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5D781D">
        <w:rPr>
          <w:rFonts w:ascii="melior" w:hAnsi="melior" w:eastAsia="melior" w:cs="melior"/>
          <w:i w:val="1"/>
          <w:iCs w:val="1"/>
          <w:sz w:val="24"/>
          <w:szCs w:val="24"/>
        </w:rPr>
        <w:t>Contributions in teaching, research, and service that demonstrably promote diversity</w:t>
      </w:r>
      <w:r w:rsidRPr="033A2959" w:rsidR="28C7990D">
        <w:rPr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5D781D">
        <w:rPr>
          <w:rFonts w:ascii="melior" w:hAnsi="melior" w:eastAsia="melior" w:cs="melior"/>
          <w:i w:val="1"/>
          <w:iCs w:val="1"/>
          <w:sz w:val="24"/>
          <w:szCs w:val="24"/>
        </w:rPr>
        <w:t>equity, and inclusion.</w:t>
      </w:r>
    </w:p>
    <w:p w:rsidR="0042214C" w:rsidP="033A2959" w:rsidRDefault="0042214C" w14:paraId="091B4902" w14:textId="04EDEFDB">
      <w:pPr>
        <w:pStyle w:val="Heading2"/>
        <w:spacing w:after="120" w:afterAutospacing="off"/>
        <w:rPr>
          <w:rFonts w:ascii="melior" w:hAnsi="melior" w:eastAsia="melior" w:cs="melior"/>
          <w:i w:val="1"/>
          <w:iCs w:val="1"/>
          <w:sz w:val="24"/>
          <w:szCs w:val="24"/>
          <w:u w:val="single"/>
        </w:rPr>
      </w:pPr>
      <w:r w:rsidRPr="033A2959" w:rsidR="0042214C">
        <w:rPr>
          <w:rFonts w:ascii="melior" w:hAnsi="melior" w:eastAsia="melior" w:cs="melior"/>
          <w:sz w:val="24"/>
          <w:szCs w:val="24"/>
          <w:u w:val="single"/>
        </w:rPr>
        <w:t>Other Comments</w:t>
      </w:r>
    </w:p>
    <w:p w:rsidR="0042214C" w:rsidP="033A2959" w:rsidRDefault="00871851" w14:paraId="2212EB8D" w14:textId="7E4F4EAE">
      <w:pPr>
        <w:spacing w:after="240" w:afterAutospacing="off"/>
        <w:rPr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00871851">
        <w:rPr>
          <w:rFonts w:ascii="melior" w:hAnsi="melior" w:eastAsia="melior" w:cs="melior"/>
          <w:i w:val="1"/>
          <w:iCs w:val="1"/>
          <w:sz w:val="24"/>
          <w:szCs w:val="24"/>
        </w:rPr>
        <w:t>The report should also address any matters not adequately addressed by the department committee report.</w:t>
      </w:r>
    </w:p>
    <w:p w:rsidR="000D08CA" w:rsidP="033A2959" w:rsidRDefault="000D08CA" w14:paraId="40682AD6" w14:textId="3A2B6CE7">
      <w:pPr>
        <w:pStyle w:val="Heading2"/>
        <w:rPr>
          <w:rFonts w:ascii="melior" w:hAnsi="melior" w:eastAsia="melior" w:cs="melior"/>
          <w:sz w:val="24"/>
          <w:szCs w:val="24"/>
          <w:u w:val="single"/>
        </w:rPr>
      </w:pPr>
      <w:r w:rsidRPr="033A2959" w:rsidR="000D08CA">
        <w:rPr>
          <w:rFonts w:ascii="melior" w:hAnsi="melior" w:eastAsia="melior" w:cs="melior"/>
          <w:sz w:val="24"/>
          <w:szCs w:val="24"/>
          <w:u w:val="single"/>
        </w:rPr>
        <w:t>Conclusion and recommendation</w:t>
      </w:r>
    </w:p>
    <w:p w:rsidR="033A2959" w:rsidP="033A2959" w:rsidRDefault="033A2959" w14:paraId="5A02655B" w14:textId="3F0197B5">
      <w:pPr>
        <w:pStyle w:val="Normal"/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</w:pPr>
    </w:p>
    <w:p w:rsidR="033A2959" w:rsidP="033A2959" w:rsidRDefault="033A2959" w14:paraId="7EAE4DEB" w14:textId="3D945DE2">
      <w:pPr>
        <w:pStyle w:val="Normal"/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</w:pPr>
    </w:p>
    <w:p w:rsidR="033A2959" w:rsidP="033A2959" w:rsidRDefault="033A2959" w14:paraId="4913BB5E" w14:textId="2D820B14">
      <w:pPr>
        <w:pStyle w:val="Normal"/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</w:pPr>
    </w:p>
    <w:p w:rsidRPr="009239CA" w:rsidR="009239CA" w:rsidP="033A2959" w:rsidRDefault="009239CA" w14:paraId="2CF65B07" w14:textId="5181E358">
      <w:pPr>
        <w:pStyle w:val="Normal"/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</w:pPr>
      <w:r w:rsidRPr="033A2959" w:rsidR="43078754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T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he department head will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p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rovid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e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the unit head’s report to the </w:t>
      </w:r>
      <w:r w:rsidRPr="033A2959" w:rsidR="2B76C5EE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candidate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and allow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them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10</w:t>
      </w:r>
      <w:r w:rsidRPr="033A2959" w:rsidR="5E20F6BF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business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days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from the date of the receipt of the report to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provid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e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a written response, which shall be included in the file when it moves forward</w:t>
      </w:r>
      <w:r w:rsidRPr="033A2959" w:rsidR="7BD110FF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.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If a unit has or develops a policy or practice of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providin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g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 xml:space="preserve"> the report of the faculty committee to the faculty member, the unit head shall do so</w:t>
      </w:r>
      <w:r w:rsidRPr="033A2959" w:rsidR="004C0FF0"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  <w:t>.</w:t>
      </w:r>
    </w:p>
    <w:p w:rsidR="033A2959" w:rsidP="033A2959" w:rsidRDefault="033A2959" w14:paraId="5831DBFC" w14:textId="49130D50">
      <w:pPr>
        <w:pStyle w:val="Normal"/>
        <w:rPr>
          <w:rStyle w:val="markedcontent"/>
          <w:rFonts w:ascii="melior" w:hAnsi="melior" w:eastAsia="melior" w:cs="melior"/>
          <w:i w:val="1"/>
          <w:iCs w:val="1"/>
          <w:sz w:val="24"/>
          <w:szCs w:val="24"/>
        </w:rPr>
      </w:pPr>
    </w:p>
    <w:p w:rsidRPr="00871851" w:rsidR="00871851" w:rsidP="033A2959" w:rsidRDefault="00871851" w14:paraId="2049EFBF" w14:textId="446AFDD4">
      <w:pPr>
        <w:spacing w:after="0"/>
        <w:rPr>
          <w:rFonts w:ascii="melior" w:hAnsi="melior" w:eastAsia="melior" w:cs="melior"/>
          <w:sz w:val="24"/>
          <w:szCs w:val="24"/>
        </w:rPr>
      </w:pPr>
      <w:r w:rsidRPr="033A2959" w:rsidR="00871851">
        <w:rPr>
          <w:rFonts w:ascii="melior" w:hAnsi="melior" w:eastAsia="melior" w:cs="melior"/>
          <w:sz w:val="24"/>
          <w:szCs w:val="24"/>
        </w:rPr>
        <w:t>_____________________________________</w:t>
      </w:r>
      <w:r>
        <w:tab/>
      </w:r>
      <w:r>
        <w:tab/>
      </w:r>
      <w:r>
        <w:tab/>
      </w:r>
      <w:r>
        <w:tab/>
      </w:r>
      <w:r w:rsidRPr="033A2959" w:rsidR="00871851">
        <w:rPr>
          <w:rFonts w:ascii="melior" w:hAnsi="melior" w:eastAsia="melior" w:cs="melior"/>
          <w:sz w:val="24"/>
          <w:szCs w:val="24"/>
        </w:rPr>
        <w:t>_____________</w:t>
      </w:r>
    </w:p>
    <w:p w:rsidR="004B2BF2" w:rsidP="033A2959" w:rsidRDefault="0042214C" w14:paraId="0B7249EC" w14:textId="3D8A6E81">
      <w:pPr>
        <w:spacing w:after="0"/>
        <w:rPr>
          <w:rFonts w:ascii="melior" w:hAnsi="melior" w:eastAsia="melior" w:cs="melior"/>
          <w:sz w:val="24"/>
          <w:szCs w:val="24"/>
        </w:rPr>
      </w:pPr>
      <w:r w:rsidRPr="033A2959" w:rsidR="0894E8E6">
        <w:rPr>
          <w:rFonts w:ascii="melior" w:hAnsi="melior" w:eastAsia="melior" w:cs="melior"/>
          <w:sz w:val="24"/>
          <w:szCs w:val="24"/>
        </w:rPr>
        <w:t>Unit/</w:t>
      </w:r>
      <w:r w:rsidRPr="033A2959" w:rsidR="0042214C">
        <w:rPr>
          <w:rFonts w:ascii="melior" w:hAnsi="melior" w:eastAsia="melior" w:cs="melior"/>
          <w:sz w:val="24"/>
          <w:szCs w:val="24"/>
        </w:rPr>
        <w:t xml:space="preserve">Department Head </w:t>
      </w:r>
      <w:r w:rsidRPr="033A2959" w:rsidR="00871851">
        <w:rPr>
          <w:rFonts w:ascii="melior" w:hAnsi="melior" w:eastAsia="melior" w:cs="melior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 w:rsidRPr="033A2959" w:rsidR="00871851">
        <w:rPr>
          <w:rFonts w:ascii="melior" w:hAnsi="melior" w:eastAsia="melior" w:cs="melior"/>
          <w:sz w:val="24"/>
          <w:szCs w:val="24"/>
        </w:rPr>
        <w:t>Dat</w:t>
      </w:r>
      <w:r w:rsidRPr="033A2959" w:rsidR="00C16ED4">
        <w:rPr>
          <w:rFonts w:ascii="melior" w:hAnsi="melior" w:eastAsia="melior" w:cs="melior"/>
          <w:sz w:val="24"/>
          <w:szCs w:val="24"/>
        </w:rPr>
        <w:t>e</w:t>
      </w:r>
    </w:p>
    <w:sectPr w:rsidR="004B2BF2" w:rsidSect="00BC3D91">
      <w:headerReference w:type="default" r:id="rId9"/>
      <w:footerReference w:type="default" r:id="rId10"/>
      <w:headerReference w:type="first" r:id="rId11"/>
      <w:pgSz w:w="12240" w:h="15840" w:orient="portrait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97F" w:rsidP="007941AE" w:rsidRDefault="00E8797F" w14:paraId="77B88D53" w14:textId="77777777">
      <w:pPr>
        <w:spacing w:after="0" w:line="240" w:lineRule="auto"/>
      </w:pPr>
      <w:r>
        <w:separator/>
      </w:r>
    </w:p>
  </w:endnote>
  <w:endnote w:type="continuationSeparator" w:id="0">
    <w:p w:rsidR="00E8797F" w:rsidP="007941AE" w:rsidRDefault="00E8797F" w14:paraId="2C0F04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439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1AE" w:rsidRDefault="007941AE" w14:paraId="79BBBFC9" w14:textId="3E3C53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1AE" w:rsidRDefault="007941AE" w14:paraId="5C3EA4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97F" w:rsidP="007941AE" w:rsidRDefault="00E8797F" w14:paraId="5E872ACD" w14:textId="77777777">
      <w:pPr>
        <w:spacing w:after="0" w:line="240" w:lineRule="auto"/>
      </w:pPr>
      <w:r>
        <w:separator/>
      </w:r>
    </w:p>
  </w:footnote>
  <w:footnote w:type="continuationSeparator" w:id="0">
    <w:p w:rsidR="00E8797F" w:rsidP="007941AE" w:rsidRDefault="00E8797F" w14:paraId="4E721C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41AE" w:rsidR="00BC3D91" w:rsidP="00BC3D91" w:rsidRDefault="00BC3D91" w14:paraId="0F60BAB0" w14:textId="63E82027">
    <w:pPr>
      <w:rPr>
        <w:rFonts w:cstheme="minorHAnsi"/>
        <w:b/>
        <w:bCs/>
        <w:u w:val="single"/>
      </w:rPr>
    </w:pPr>
  </w:p>
  <w:p w:rsidR="00BC3D91" w:rsidRDefault="00BC3D91" w14:paraId="7E52AE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39CA" w:rsidR="00BC3D91" w:rsidRDefault="00BC3D91" w14:paraId="77CE541D" w14:textId="0A05CE72">
    <w:pPr>
      <w:pStyle w:val="Header"/>
      <w:rPr>
        <w:sz w:val="28"/>
        <w:szCs w:val="28"/>
      </w:rPr>
    </w:pPr>
    <w:r w:rsidRPr="009239CA">
      <w:rPr>
        <w:rFonts w:cstheme="minorHAnsi"/>
        <w:b/>
        <w:bCs/>
        <w:sz w:val="28"/>
        <w:szCs w:val="28"/>
        <w:u w:val="single"/>
      </w:rPr>
      <w:t xml:space="preserve">CAS </w:t>
    </w:r>
    <w:r w:rsidR="009239CA">
      <w:rPr>
        <w:rFonts w:cstheme="minorHAnsi"/>
        <w:b/>
        <w:bCs/>
        <w:sz w:val="28"/>
        <w:szCs w:val="28"/>
        <w:u w:val="single"/>
      </w:rPr>
      <w:t xml:space="preserve">Department Head Report </w:t>
    </w:r>
    <w:r w:rsidRPr="009239CA">
      <w:rPr>
        <w:rFonts w:cstheme="minorHAnsi"/>
        <w:b/>
        <w:bCs/>
        <w:sz w:val="28"/>
        <w:szCs w:val="28"/>
        <w:u w:val="single"/>
      </w:rPr>
      <w:t>Template including Provost’s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054f45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4A2A78"/>
    <w:multiLevelType w:val="hybridMultilevel"/>
    <w:tmpl w:val="FBB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2E"/>
    <w:multiLevelType w:val="hybridMultilevel"/>
    <w:tmpl w:val="EA20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8D17B20"/>
    <w:multiLevelType w:val="hybridMultilevel"/>
    <w:tmpl w:val="ADECC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B54"/>
    <w:multiLevelType w:val="hybridMultilevel"/>
    <w:tmpl w:val="1A7A36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48494A"/>
    <w:multiLevelType w:val="hybridMultilevel"/>
    <w:tmpl w:val="DA8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AB5DA0"/>
    <w:multiLevelType w:val="hybridMultilevel"/>
    <w:tmpl w:val="63EA980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5759"/>
    <w:multiLevelType w:val="hybridMultilevel"/>
    <w:tmpl w:val="7BA85F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4E6C1B"/>
    <w:multiLevelType w:val="hybridMultilevel"/>
    <w:tmpl w:val="373C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25CD"/>
    <w:multiLevelType w:val="hybridMultilevel"/>
    <w:tmpl w:val="3232332C"/>
    <w:lvl w:ilvl="0" w:tplc="18EC8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DC3297"/>
    <w:multiLevelType w:val="hybridMultilevel"/>
    <w:tmpl w:val="3276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D80"/>
    <w:multiLevelType w:val="hybridMultilevel"/>
    <w:tmpl w:val="9F74A0E4"/>
    <w:lvl w:ilvl="0" w:tplc="06AA03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A1D7B"/>
    <w:multiLevelType w:val="multilevel"/>
    <w:tmpl w:val="5F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BB4837"/>
    <w:multiLevelType w:val="hybridMultilevel"/>
    <w:tmpl w:val="41968488"/>
    <w:lvl w:ilvl="0" w:tplc="36D2826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AEB05C4"/>
    <w:multiLevelType w:val="hybridMultilevel"/>
    <w:tmpl w:val="D3B8C762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2AF0"/>
    <w:multiLevelType w:val="hybridMultilevel"/>
    <w:tmpl w:val="E3D895E4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2EB"/>
    <w:multiLevelType w:val="hybridMultilevel"/>
    <w:tmpl w:val="9DFA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E57C5"/>
    <w:multiLevelType w:val="hybridMultilevel"/>
    <w:tmpl w:val="B504E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897"/>
    <w:multiLevelType w:val="hybridMultilevel"/>
    <w:tmpl w:val="D77E82DA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47DD25DB"/>
    <w:multiLevelType w:val="hybridMultilevel"/>
    <w:tmpl w:val="9286AAD8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567A"/>
    <w:multiLevelType w:val="hybridMultilevel"/>
    <w:tmpl w:val="97FADC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B9407B"/>
    <w:multiLevelType w:val="hybridMultilevel"/>
    <w:tmpl w:val="6212B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88E"/>
    <w:multiLevelType w:val="hybridMultilevel"/>
    <w:tmpl w:val="D68E80CE"/>
    <w:lvl w:ilvl="0" w:tplc="73502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32C1E"/>
    <w:multiLevelType w:val="hybridMultilevel"/>
    <w:tmpl w:val="6C5EE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D6550"/>
    <w:multiLevelType w:val="hybridMultilevel"/>
    <w:tmpl w:val="21FA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697153"/>
    <w:multiLevelType w:val="hybridMultilevel"/>
    <w:tmpl w:val="85906158"/>
    <w:lvl w:ilvl="0" w:tplc="75501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547051"/>
    <w:multiLevelType w:val="hybridMultilevel"/>
    <w:tmpl w:val="A32A1E9A"/>
    <w:lvl w:ilvl="0" w:tplc="5CEE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51F76"/>
    <w:multiLevelType w:val="hybridMultilevel"/>
    <w:tmpl w:val="BD668FE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A7E31"/>
    <w:multiLevelType w:val="hybridMultilevel"/>
    <w:tmpl w:val="E8361F4E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8"/>
  </w:num>
  <w:num w:numId="1" w16cid:durableId="567351454">
    <w:abstractNumId w:val="4"/>
  </w:num>
  <w:num w:numId="2" w16cid:durableId="1900628943">
    <w:abstractNumId w:val="23"/>
  </w:num>
  <w:num w:numId="3" w16cid:durableId="522861043">
    <w:abstractNumId w:val="15"/>
  </w:num>
  <w:num w:numId="4" w16cid:durableId="1239898518">
    <w:abstractNumId w:val="1"/>
  </w:num>
  <w:num w:numId="5" w16cid:durableId="860977839">
    <w:abstractNumId w:val="6"/>
  </w:num>
  <w:num w:numId="6" w16cid:durableId="1897931471">
    <w:abstractNumId w:val="17"/>
  </w:num>
  <w:num w:numId="7" w16cid:durableId="344064872">
    <w:abstractNumId w:val="12"/>
  </w:num>
  <w:num w:numId="8" w16cid:durableId="1321275678">
    <w:abstractNumId w:val="11"/>
  </w:num>
  <w:num w:numId="9" w16cid:durableId="225385252">
    <w:abstractNumId w:val="21"/>
  </w:num>
  <w:num w:numId="10" w16cid:durableId="2018916962">
    <w:abstractNumId w:val="9"/>
  </w:num>
  <w:num w:numId="11" w16cid:durableId="268975571">
    <w:abstractNumId w:val="7"/>
  </w:num>
  <w:num w:numId="12" w16cid:durableId="2082369477">
    <w:abstractNumId w:val="0"/>
  </w:num>
  <w:num w:numId="13" w16cid:durableId="891231213">
    <w:abstractNumId w:val="3"/>
  </w:num>
  <w:num w:numId="14" w16cid:durableId="1984844375">
    <w:abstractNumId w:val="5"/>
  </w:num>
  <w:num w:numId="15" w16cid:durableId="1565213293">
    <w:abstractNumId w:val="8"/>
  </w:num>
  <w:num w:numId="16" w16cid:durableId="560949573">
    <w:abstractNumId w:val="14"/>
  </w:num>
  <w:num w:numId="17" w16cid:durableId="1868979337">
    <w:abstractNumId w:val="18"/>
  </w:num>
  <w:num w:numId="18" w16cid:durableId="1103039753">
    <w:abstractNumId w:val="13"/>
  </w:num>
  <w:num w:numId="19" w16cid:durableId="1569614944">
    <w:abstractNumId w:val="26"/>
  </w:num>
  <w:num w:numId="20" w16cid:durableId="1655715923">
    <w:abstractNumId w:val="27"/>
  </w:num>
  <w:num w:numId="21" w16cid:durableId="1821579430">
    <w:abstractNumId w:val="22"/>
  </w:num>
  <w:num w:numId="22" w16cid:durableId="1959407473">
    <w:abstractNumId w:val="19"/>
  </w:num>
  <w:num w:numId="23" w16cid:durableId="1080370973">
    <w:abstractNumId w:val="25"/>
  </w:num>
  <w:num w:numId="24" w16cid:durableId="983853070">
    <w:abstractNumId w:val="20"/>
  </w:num>
  <w:num w:numId="25" w16cid:durableId="408774947">
    <w:abstractNumId w:val="24"/>
  </w:num>
  <w:num w:numId="26" w16cid:durableId="677779868">
    <w:abstractNumId w:val="16"/>
  </w:num>
  <w:num w:numId="27" w16cid:durableId="999575588">
    <w:abstractNumId w:val="2"/>
  </w:num>
  <w:num w:numId="28" w16cid:durableId="69561799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7"/>
    <w:rsid w:val="00075061"/>
    <w:rsid w:val="000C327C"/>
    <w:rsid w:val="000D08CA"/>
    <w:rsid w:val="000F5E9A"/>
    <w:rsid w:val="00150E6C"/>
    <w:rsid w:val="001E6A9B"/>
    <w:rsid w:val="002E01B2"/>
    <w:rsid w:val="002F0794"/>
    <w:rsid w:val="003B1B5D"/>
    <w:rsid w:val="0042214C"/>
    <w:rsid w:val="004A305C"/>
    <w:rsid w:val="004B2BF2"/>
    <w:rsid w:val="004B7E0F"/>
    <w:rsid w:val="004C0FF0"/>
    <w:rsid w:val="00505D63"/>
    <w:rsid w:val="005C7EF3"/>
    <w:rsid w:val="005D781D"/>
    <w:rsid w:val="007941AE"/>
    <w:rsid w:val="00871851"/>
    <w:rsid w:val="008A61A2"/>
    <w:rsid w:val="0091353B"/>
    <w:rsid w:val="009239CA"/>
    <w:rsid w:val="009555D8"/>
    <w:rsid w:val="009979F7"/>
    <w:rsid w:val="00A43B97"/>
    <w:rsid w:val="00AC2537"/>
    <w:rsid w:val="00B763BA"/>
    <w:rsid w:val="00B86A6E"/>
    <w:rsid w:val="00B91D7D"/>
    <w:rsid w:val="00BC3D91"/>
    <w:rsid w:val="00C16ED4"/>
    <w:rsid w:val="00CD5BDA"/>
    <w:rsid w:val="00D138BD"/>
    <w:rsid w:val="00E8797F"/>
    <w:rsid w:val="00E94FA9"/>
    <w:rsid w:val="00EA06DD"/>
    <w:rsid w:val="00EE0EA4"/>
    <w:rsid w:val="00FB16E5"/>
    <w:rsid w:val="0118CDC6"/>
    <w:rsid w:val="012CC44B"/>
    <w:rsid w:val="033A2959"/>
    <w:rsid w:val="0349A3CF"/>
    <w:rsid w:val="0550CC95"/>
    <w:rsid w:val="067B5CBB"/>
    <w:rsid w:val="0894E8E6"/>
    <w:rsid w:val="0C55A1DA"/>
    <w:rsid w:val="0DD91E48"/>
    <w:rsid w:val="0EC71DB4"/>
    <w:rsid w:val="0EC9F4C3"/>
    <w:rsid w:val="102EE6F1"/>
    <w:rsid w:val="12B6662D"/>
    <w:rsid w:val="142EF2DF"/>
    <w:rsid w:val="1528FA5C"/>
    <w:rsid w:val="15C8AACD"/>
    <w:rsid w:val="1653DFA4"/>
    <w:rsid w:val="16FA4E30"/>
    <w:rsid w:val="178D8A00"/>
    <w:rsid w:val="17EFB005"/>
    <w:rsid w:val="17F50FBB"/>
    <w:rsid w:val="18609B1E"/>
    <w:rsid w:val="19181EE9"/>
    <w:rsid w:val="1AB3EF4A"/>
    <w:rsid w:val="1B61625F"/>
    <w:rsid w:val="1B85095F"/>
    <w:rsid w:val="1C63B5D2"/>
    <w:rsid w:val="1EEC37B8"/>
    <w:rsid w:val="20E402E7"/>
    <w:rsid w:val="21B54567"/>
    <w:rsid w:val="22B4657F"/>
    <w:rsid w:val="243973CB"/>
    <w:rsid w:val="26F7499D"/>
    <w:rsid w:val="286D0CE8"/>
    <w:rsid w:val="289319FE"/>
    <w:rsid w:val="28C7990D"/>
    <w:rsid w:val="2A1714C5"/>
    <w:rsid w:val="2B76C5EE"/>
    <w:rsid w:val="2BFD357B"/>
    <w:rsid w:val="2EB77CE1"/>
    <w:rsid w:val="2F8CF14E"/>
    <w:rsid w:val="30781ECD"/>
    <w:rsid w:val="30B19C61"/>
    <w:rsid w:val="3191EED6"/>
    <w:rsid w:val="32AACDAE"/>
    <w:rsid w:val="33283908"/>
    <w:rsid w:val="33EC9141"/>
    <w:rsid w:val="340F5FCD"/>
    <w:rsid w:val="34276D2B"/>
    <w:rsid w:val="34D31C00"/>
    <w:rsid w:val="3BECCD19"/>
    <w:rsid w:val="3FCD0CCC"/>
    <w:rsid w:val="3FD4F17C"/>
    <w:rsid w:val="409F250D"/>
    <w:rsid w:val="40C487C9"/>
    <w:rsid w:val="41E62213"/>
    <w:rsid w:val="4232007E"/>
    <w:rsid w:val="43078754"/>
    <w:rsid w:val="433A6B1C"/>
    <w:rsid w:val="43C206B2"/>
    <w:rsid w:val="442474AB"/>
    <w:rsid w:val="47B1002B"/>
    <w:rsid w:val="4A3D1263"/>
    <w:rsid w:val="4BD8E2C4"/>
    <w:rsid w:val="4CBAFC04"/>
    <w:rsid w:val="4E4007E6"/>
    <w:rsid w:val="4E755AD1"/>
    <w:rsid w:val="5206B797"/>
    <w:rsid w:val="5348CBF4"/>
    <w:rsid w:val="55113530"/>
    <w:rsid w:val="57BA605B"/>
    <w:rsid w:val="57F63001"/>
    <w:rsid w:val="5848D5F2"/>
    <w:rsid w:val="586D4DFB"/>
    <w:rsid w:val="58D9F083"/>
    <w:rsid w:val="59920062"/>
    <w:rsid w:val="59E4A653"/>
    <w:rsid w:val="5A037C88"/>
    <w:rsid w:val="5A91C927"/>
    <w:rsid w:val="5B0D346D"/>
    <w:rsid w:val="5CC9A124"/>
    <w:rsid w:val="5D0984F4"/>
    <w:rsid w:val="5E20F6BF"/>
    <w:rsid w:val="5E5C0329"/>
    <w:rsid w:val="60F752FA"/>
    <w:rsid w:val="6106ACD4"/>
    <w:rsid w:val="61E7E799"/>
    <w:rsid w:val="63B9E9B5"/>
    <w:rsid w:val="64398A54"/>
    <w:rsid w:val="64C522F2"/>
    <w:rsid w:val="666B4A58"/>
    <w:rsid w:val="68D77804"/>
    <w:rsid w:val="692D53FC"/>
    <w:rsid w:val="6AB9B592"/>
    <w:rsid w:val="6BA451BD"/>
    <w:rsid w:val="6C0A5317"/>
    <w:rsid w:val="6CBF13BA"/>
    <w:rsid w:val="6DFFCA6B"/>
    <w:rsid w:val="6F8B2919"/>
    <w:rsid w:val="6F9113FF"/>
    <w:rsid w:val="6FA8D5D6"/>
    <w:rsid w:val="713D2690"/>
    <w:rsid w:val="7208D8C5"/>
    <w:rsid w:val="743622F9"/>
    <w:rsid w:val="759F92BC"/>
    <w:rsid w:val="77E6E0BE"/>
    <w:rsid w:val="782A847C"/>
    <w:rsid w:val="7A1D7C25"/>
    <w:rsid w:val="7A2CD7CD"/>
    <w:rsid w:val="7BD110FF"/>
    <w:rsid w:val="7DB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A138"/>
  <w15:chartTrackingRefBased/>
  <w15:docId w15:val="{BBD202B9-6EC5-4FEB-8672-7107033AC8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C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9C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edcontent" w:customStyle="1">
    <w:name w:val="markedcontent"/>
    <w:basedOn w:val="DefaultParagraphFont"/>
    <w:rsid w:val="00A43B97"/>
  </w:style>
  <w:style w:type="paragraph" w:styleId="ListParagraph">
    <w:name w:val="List Paragraph"/>
    <w:basedOn w:val="Normal"/>
    <w:uiPriority w:val="34"/>
    <w:qFormat/>
    <w:rsid w:val="00A4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1B5D"/>
    <w:pPr>
      <w:spacing w:before="100" w:beforeAutospacing="1" w:after="100" w:afterAutospacing="1" w:line="240" w:lineRule="auto"/>
    </w:pPr>
    <w:rPr>
      <w:rFonts w:ascii="Times" w:hAnsi="Times" w:cs="Times New Roman" w:eastAsiaTheme="minorEastAs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41AE"/>
  </w:style>
  <w:style w:type="paragraph" w:styleId="Footer">
    <w:name w:val="footer"/>
    <w:basedOn w:val="Normal"/>
    <w:link w:val="Foot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41AE"/>
  </w:style>
  <w:style w:type="character" w:styleId="Heading1Char" w:customStyle="1">
    <w:name w:val="Heading 1 Char"/>
    <w:basedOn w:val="DefaultParagraphFont"/>
    <w:link w:val="Heading1"/>
    <w:uiPriority w:val="9"/>
    <w:rsid w:val="009239CA"/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239CA"/>
    <w:rPr>
      <w:rFonts w:asciiTheme="majorHAnsi" w:hAnsiTheme="majorHAnsi"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517b852651fc466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8c9-47f1-4c67-9782-a31ac8ad498b}"/>
      </w:docPartPr>
      <w:docPartBody>
        <w:p w14:paraId="3CCC62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50F64D-79DB-49F1-9351-AE195B82258E}">
  <we:reference id="7a10b68b-e060-4ac1-b669-3fa5f0332e46" version="1.0.0.0" store="EXCatalog" storeType="EXCatalog"/>
  <we:alternateReferences>
    <we:reference id="WA200002281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5" ma:contentTypeDescription="Create a new document." ma:contentTypeScope="" ma:versionID="6f959adbc2451d58b370012bea982752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081b51efc498a4fa196abc02a9598978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8427C4-977D-44A5-A52C-ECCB32A12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914A4-7498-4272-B788-C44B49E1FAA5}"/>
</file>

<file path=customXml/itemProps3.xml><?xml version="1.0" encoding="utf-8"?>
<ds:datastoreItem xmlns:ds="http://schemas.openxmlformats.org/officeDocument/2006/customXml" ds:itemID="{63590AF0-46B8-4FCA-A84A-42020EA20E1B}"/>
</file>

<file path=customXml/itemProps4.xml><?xml version="1.0" encoding="utf-8"?>
<ds:datastoreItem xmlns:ds="http://schemas.openxmlformats.org/officeDocument/2006/customXml" ds:itemID="{36581D13-7AA1-43D0-A533-29073B1A7F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Jules Jones</dc:creator>
  <keywords/>
  <dc:description/>
  <lastModifiedBy>Jenny Talusan</lastModifiedBy>
  <revision>11</revision>
  <dcterms:created xsi:type="dcterms:W3CDTF">2023-02-22T16:01:00.0000000Z</dcterms:created>
  <dcterms:modified xsi:type="dcterms:W3CDTF">2023-09-08T20:27:21.8898608Z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