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78212" w14:textId="77777777" w:rsidR="00C14EDF" w:rsidRPr="00656BD6" w:rsidRDefault="00C14EDF" w:rsidP="00C14EDF">
      <w:pPr>
        <w:widowControl w:val="0"/>
        <w:autoSpaceDE w:val="0"/>
        <w:autoSpaceDN w:val="0"/>
        <w:adjustRightInd w:val="0"/>
        <w:jc w:val="center"/>
        <w:rPr>
          <w:rFonts w:ascii="Times New Roman" w:hAnsi="Times New Roman" w:cs="Times New Roman"/>
          <w:b/>
          <w:color w:val="000000"/>
        </w:rPr>
      </w:pPr>
      <w:r w:rsidRPr="00656BD6">
        <w:rPr>
          <w:rFonts w:ascii="Times New Roman" w:hAnsi="Times New Roman" w:cs="Times New Roman"/>
          <w:b/>
          <w:color w:val="000000"/>
        </w:rPr>
        <w:t>Teaching Assignment Implementation Guidance</w:t>
      </w:r>
    </w:p>
    <w:p w14:paraId="3195DD62" w14:textId="77777777" w:rsidR="00C14EDF" w:rsidRPr="00656BD6" w:rsidRDefault="00C14EDF" w:rsidP="00C14EDF">
      <w:pPr>
        <w:widowControl w:val="0"/>
        <w:autoSpaceDE w:val="0"/>
        <w:autoSpaceDN w:val="0"/>
        <w:adjustRightInd w:val="0"/>
        <w:jc w:val="center"/>
        <w:rPr>
          <w:rFonts w:ascii="Times New Roman" w:hAnsi="Times New Roman" w:cs="Times New Roman"/>
          <w:b/>
          <w:color w:val="000000"/>
        </w:rPr>
      </w:pPr>
    </w:p>
    <w:p w14:paraId="615F939C" w14:textId="2AAEA82E" w:rsidR="00E50F20" w:rsidRDefault="00E50F20" w:rsidP="002E250B">
      <w:pPr>
        <w:widowControl w:val="0"/>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Revised 23 April 2019</w:t>
      </w:r>
    </w:p>
    <w:p w14:paraId="7259F59D" w14:textId="6A0DB43A" w:rsidR="002E250B" w:rsidRPr="001520A9" w:rsidRDefault="002E250B" w:rsidP="002E250B">
      <w:pPr>
        <w:widowControl w:val="0"/>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 xml:space="preserve">Originated </w:t>
      </w:r>
      <w:r w:rsidR="00C92E47">
        <w:rPr>
          <w:rFonts w:ascii="Times New Roman" w:hAnsi="Times New Roman" w:cs="Times New Roman"/>
          <w:b/>
          <w:color w:val="000000"/>
        </w:rPr>
        <w:t>26</w:t>
      </w:r>
      <w:r w:rsidR="00706CB1">
        <w:rPr>
          <w:rFonts w:ascii="Times New Roman" w:hAnsi="Times New Roman" w:cs="Times New Roman"/>
          <w:b/>
          <w:color w:val="000000"/>
        </w:rPr>
        <w:t xml:space="preserve"> January</w:t>
      </w:r>
      <w:r w:rsidR="00C14EDF">
        <w:rPr>
          <w:rFonts w:ascii="Times New Roman" w:hAnsi="Times New Roman" w:cs="Times New Roman"/>
          <w:b/>
          <w:color w:val="000000"/>
        </w:rPr>
        <w:t xml:space="preserve"> </w:t>
      </w:r>
      <w:r w:rsidR="00706CB1">
        <w:rPr>
          <w:rFonts w:ascii="Times New Roman" w:hAnsi="Times New Roman" w:cs="Times New Roman"/>
          <w:b/>
          <w:color w:val="000000"/>
        </w:rPr>
        <w:t>2018</w:t>
      </w:r>
    </w:p>
    <w:p w14:paraId="3B105CE2" w14:textId="77777777" w:rsidR="0059530F" w:rsidRDefault="0059530F" w:rsidP="00C14EDF">
      <w:pPr>
        <w:widowControl w:val="0"/>
        <w:autoSpaceDE w:val="0"/>
        <w:autoSpaceDN w:val="0"/>
        <w:adjustRightInd w:val="0"/>
        <w:rPr>
          <w:rFonts w:ascii="Times New Roman" w:hAnsi="Times New Roman" w:cs="Times New Roman"/>
          <w:color w:val="000000"/>
        </w:rPr>
      </w:pPr>
    </w:p>
    <w:p w14:paraId="2734C7D9" w14:textId="3B4BF7AB" w:rsidR="0059530F" w:rsidRDefault="0059530F" w:rsidP="00C14ED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Drafted by Dean Kamphaus</w:t>
      </w:r>
      <w:r w:rsidR="00585171">
        <w:rPr>
          <w:rFonts w:ascii="Times New Roman" w:hAnsi="Times New Roman" w:cs="Times New Roman"/>
          <w:color w:val="000000"/>
        </w:rPr>
        <w:t xml:space="preserve"> in July</w:t>
      </w:r>
      <w:r>
        <w:rPr>
          <w:rFonts w:ascii="Times New Roman" w:hAnsi="Times New Roman" w:cs="Times New Roman"/>
          <w:color w:val="000000"/>
        </w:rPr>
        <w:t xml:space="preserve"> 2017, followed by t</w:t>
      </w:r>
      <w:r w:rsidR="006D7AA5">
        <w:rPr>
          <w:rFonts w:ascii="Times New Roman" w:hAnsi="Times New Roman" w:cs="Times New Roman"/>
          <w:color w:val="000000"/>
        </w:rPr>
        <w:t>hree</w:t>
      </w:r>
      <w:r>
        <w:rPr>
          <w:rFonts w:ascii="Times New Roman" w:hAnsi="Times New Roman" w:cs="Times New Roman"/>
          <w:color w:val="000000"/>
        </w:rPr>
        <w:t xml:space="preserve"> rounds </w:t>
      </w:r>
      <w:r w:rsidR="00C61106">
        <w:rPr>
          <w:rFonts w:ascii="Times New Roman" w:hAnsi="Times New Roman" w:cs="Times New Roman"/>
          <w:color w:val="000000"/>
        </w:rPr>
        <w:t xml:space="preserve">each </w:t>
      </w:r>
      <w:r>
        <w:rPr>
          <w:rFonts w:ascii="Times New Roman" w:hAnsi="Times New Roman" w:cs="Times New Roman"/>
          <w:color w:val="000000"/>
        </w:rPr>
        <w:t>of review</w:t>
      </w:r>
      <w:r w:rsidR="006D7AA5">
        <w:rPr>
          <w:rFonts w:ascii="Times New Roman" w:hAnsi="Times New Roman" w:cs="Times New Roman"/>
          <w:color w:val="000000"/>
        </w:rPr>
        <w:t>, comment, and revision</w:t>
      </w:r>
      <w:r>
        <w:rPr>
          <w:rFonts w:ascii="Times New Roman" w:hAnsi="Times New Roman" w:cs="Times New Roman"/>
          <w:color w:val="000000"/>
        </w:rPr>
        <w:t xml:space="preserve"> by academic Department Heads, and members of the Faculty Advisory Co</w:t>
      </w:r>
      <w:r w:rsidR="00C61106">
        <w:rPr>
          <w:rFonts w:ascii="Times New Roman" w:hAnsi="Times New Roman" w:cs="Times New Roman"/>
          <w:color w:val="000000"/>
        </w:rPr>
        <w:t xml:space="preserve">mmittee.  </w:t>
      </w:r>
      <w:r w:rsidR="00706CB1">
        <w:rPr>
          <w:rFonts w:ascii="Times New Roman" w:hAnsi="Times New Roman" w:cs="Times New Roman"/>
          <w:color w:val="000000"/>
        </w:rPr>
        <w:t>Version sub</w:t>
      </w:r>
      <w:r w:rsidR="00C2279C">
        <w:rPr>
          <w:rFonts w:ascii="Times New Roman" w:hAnsi="Times New Roman" w:cs="Times New Roman"/>
          <w:color w:val="000000"/>
        </w:rPr>
        <w:t>mitted for review and comment to</w:t>
      </w:r>
      <w:r w:rsidR="00706CB1">
        <w:rPr>
          <w:rFonts w:ascii="Times New Roman" w:hAnsi="Times New Roman" w:cs="Times New Roman"/>
          <w:color w:val="000000"/>
        </w:rPr>
        <w:t xml:space="preserve"> the Office of Academic Affairs November, 2017.  Latest</w:t>
      </w:r>
      <w:r w:rsidR="00C61106">
        <w:rPr>
          <w:rFonts w:ascii="Times New Roman" w:hAnsi="Times New Roman" w:cs="Times New Roman"/>
          <w:color w:val="000000"/>
        </w:rPr>
        <w:t xml:space="preserve"> version released</w:t>
      </w:r>
      <w:r w:rsidR="00706CB1">
        <w:rPr>
          <w:rFonts w:ascii="Times New Roman" w:hAnsi="Times New Roman" w:cs="Times New Roman"/>
          <w:color w:val="000000"/>
        </w:rPr>
        <w:t xml:space="preserve"> January, 2018</w:t>
      </w:r>
      <w:r>
        <w:rPr>
          <w:rFonts w:ascii="Times New Roman" w:hAnsi="Times New Roman" w:cs="Times New Roman"/>
          <w:color w:val="000000"/>
        </w:rPr>
        <w:t>.</w:t>
      </w:r>
      <w:r w:rsidR="00AC6F17">
        <w:rPr>
          <w:rFonts w:ascii="Times New Roman" w:hAnsi="Times New Roman" w:cs="Times New Roman"/>
          <w:color w:val="000000"/>
        </w:rPr>
        <w:t xml:space="preserve"> </w:t>
      </w:r>
      <w:r w:rsidR="00C2279C">
        <w:rPr>
          <w:rFonts w:ascii="Times New Roman" w:hAnsi="Times New Roman" w:cs="Times New Roman"/>
          <w:color w:val="000000"/>
        </w:rPr>
        <w:t xml:space="preserve"> </w:t>
      </w:r>
      <w:r w:rsidR="00AC6F17">
        <w:t>This guidance will be reviewed annually, and/or in conjunction with any changes or updates to the NTTF and TTF workload policies.</w:t>
      </w:r>
    </w:p>
    <w:p w14:paraId="6FCD8D80" w14:textId="77777777" w:rsidR="0059530F" w:rsidRPr="006D7AA5" w:rsidRDefault="0059530F" w:rsidP="00C14EDF">
      <w:pPr>
        <w:widowControl w:val="0"/>
        <w:autoSpaceDE w:val="0"/>
        <w:autoSpaceDN w:val="0"/>
        <w:adjustRightInd w:val="0"/>
        <w:rPr>
          <w:rFonts w:ascii="Times New Roman" w:hAnsi="Times New Roman" w:cs="Times New Roman"/>
          <w:color w:val="000000"/>
        </w:rPr>
      </w:pPr>
    </w:p>
    <w:p w14:paraId="538D11BE" w14:textId="77777777" w:rsidR="00C14EDF" w:rsidRDefault="00C14EDF" w:rsidP="00C14EDF">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Rationale</w:t>
      </w:r>
    </w:p>
    <w:p w14:paraId="65EE913E" w14:textId="77777777" w:rsidR="00C14EDF" w:rsidRDefault="00C14EDF" w:rsidP="00C14EDF">
      <w:pPr>
        <w:widowControl w:val="0"/>
        <w:autoSpaceDE w:val="0"/>
        <w:autoSpaceDN w:val="0"/>
        <w:adjustRightInd w:val="0"/>
        <w:rPr>
          <w:rFonts w:ascii="Times New Roman" w:hAnsi="Times New Roman" w:cs="Times New Roman"/>
          <w:b/>
          <w:color w:val="000000"/>
        </w:rPr>
      </w:pPr>
    </w:p>
    <w:p w14:paraId="0C46F4F5" w14:textId="1C2369FD" w:rsidR="00C14EDF" w:rsidRDefault="00C14EDF" w:rsidP="00C14ED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overarching goal of this document is to provide additional principles to help academic department heads, working in concert with their faculty, </w:t>
      </w:r>
      <w:r w:rsidR="0021202F">
        <w:rPr>
          <w:rFonts w:ascii="Times New Roman" w:hAnsi="Times New Roman" w:cs="Times New Roman"/>
          <w:color w:val="000000"/>
        </w:rPr>
        <w:t>apply</w:t>
      </w:r>
      <w:r>
        <w:rPr>
          <w:rFonts w:ascii="Times New Roman" w:hAnsi="Times New Roman" w:cs="Times New Roman"/>
          <w:color w:val="000000"/>
        </w:rPr>
        <w:t xml:space="preserve"> the approved faculty workload policies</w:t>
      </w:r>
      <w:r w:rsidR="0021202F">
        <w:rPr>
          <w:rFonts w:ascii="Times New Roman" w:hAnsi="Times New Roman" w:cs="Times New Roman"/>
          <w:color w:val="000000"/>
        </w:rPr>
        <w:t xml:space="preserve"> to the assignment of teaching loads</w:t>
      </w:r>
      <w:r>
        <w:rPr>
          <w:rFonts w:ascii="Times New Roman" w:hAnsi="Times New Roman" w:cs="Times New Roman"/>
          <w:color w:val="000000"/>
        </w:rPr>
        <w:t xml:space="preserve"> (See TTF and NTTF excerpts appended below).  </w:t>
      </w:r>
      <w:r w:rsidR="0021202F">
        <w:rPr>
          <w:rFonts w:ascii="Times New Roman" w:hAnsi="Times New Roman" w:cs="Times New Roman"/>
          <w:color w:val="000000"/>
        </w:rPr>
        <w:t>T</w:t>
      </w:r>
      <w:r w:rsidR="00013335">
        <w:rPr>
          <w:rFonts w:ascii="Times New Roman" w:hAnsi="Times New Roman" w:cs="Times New Roman"/>
          <w:color w:val="000000"/>
        </w:rPr>
        <w:t>his guidance is needed because faculty workload policies</w:t>
      </w:r>
      <w:r>
        <w:rPr>
          <w:rFonts w:ascii="Times New Roman" w:hAnsi="Times New Roman" w:cs="Times New Roman"/>
          <w:color w:val="000000"/>
        </w:rPr>
        <w:t xml:space="preserve"> are silent on topics such as</w:t>
      </w:r>
      <w:r w:rsidR="00013335">
        <w:rPr>
          <w:rFonts w:ascii="Times New Roman" w:hAnsi="Times New Roman" w:cs="Times New Roman"/>
          <w:color w:val="000000"/>
        </w:rPr>
        <w:t>,</w:t>
      </w:r>
      <w:r>
        <w:rPr>
          <w:rFonts w:ascii="Times New Roman" w:hAnsi="Times New Roman" w:cs="Times New Roman"/>
          <w:color w:val="000000"/>
        </w:rPr>
        <w:t xml:space="preserve"> minimum class sizes, frequency of new course preparations, and distribution of faculty teaching across an academic year, all of which </w:t>
      </w:r>
      <w:r w:rsidR="00013335">
        <w:rPr>
          <w:rFonts w:ascii="Times New Roman" w:hAnsi="Times New Roman" w:cs="Times New Roman"/>
          <w:color w:val="000000"/>
        </w:rPr>
        <w:t xml:space="preserve">are </w:t>
      </w:r>
      <w:r w:rsidR="0021202F">
        <w:rPr>
          <w:rFonts w:ascii="Times New Roman" w:hAnsi="Times New Roman" w:cs="Times New Roman"/>
          <w:color w:val="000000"/>
        </w:rPr>
        <w:t>important considerations for ensuring</w:t>
      </w:r>
      <w:r>
        <w:rPr>
          <w:rFonts w:ascii="Times New Roman" w:hAnsi="Times New Roman" w:cs="Times New Roman"/>
          <w:color w:val="000000"/>
        </w:rPr>
        <w:t xml:space="preserve"> equitable application of the workload policies.  </w:t>
      </w:r>
      <w:r w:rsidR="009840FC">
        <w:rPr>
          <w:rFonts w:ascii="Times New Roman" w:hAnsi="Times New Roman" w:cs="Times New Roman"/>
          <w:color w:val="000000"/>
        </w:rPr>
        <w:t>Although not exhaustive, t</w:t>
      </w:r>
      <w:r>
        <w:rPr>
          <w:rFonts w:ascii="Times New Roman" w:hAnsi="Times New Roman" w:cs="Times New Roman"/>
          <w:color w:val="000000"/>
        </w:rPr>
        <w:t>his document is intended to address some of the most frequent teaching assignment considerations likely to be encountered by faculty and their academic department heads.</w:t>
      </w:r>
    </w:p>
    <w:p w14:paraId="19301108" w14:textId="77777777" w:rsidR="00C14EDF" w:rsidRDefault="00C14EDF" w:rsidP="00C14EDF">
      <w:pPr>
        <w:widowControl w:val="0"/>
        <w:autoSpaceDE w:val="0"/>
        <w:autoSpaceDN w:val="0"/>
        <w:adjustRightInd w:val="0"/>
        <w:rPr>
          <w:rFonts w:ascii="Times New Roman" w:hAnsi="Times New Roman" w:cs="Times New Roman"/>
          <w:color w:val="000000"/>
        </w:rPr>
      </w:pPr>
    </w:p>
    <w:p w14:paraId="068D3EA6" w14:textId="77777777" w:rsidR="009C68C4" w:rsidRDefault="00C14EDF" w:rsidP="00C14ED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w:t>
      </w:r>
      <w:r w:rsidR="00F35C8E">
        <w:rPr>
          <w:rFonts w:ascii="Times New Roman" w:hAnsi="Times New Roman" w:cs="Times New Roman"/>
          <w:color w:val="000000"/>
        </w:rPr>
        <w:t>primary</w:t>
      </w:r>
      <w:r w:rsidR="00EB36D9">
        <w:rPr>
          <w:rFonts w:ascii="Times New Roman" w:hAnsi="Times New Roman" w:cs="Times New Roman"/>
          <w:color w:val="000000"/>
        </w:rPr>
        <w:t xml:space="preserve"> </w:t>
      </w:r>
      <w:r w:rsidR="00465ED4">
        <w:rPr>
          <w:rFonts w:ascii="Times New Roman" w:hAnsi="Times New Roman" w:cs="Times New Roman"/>
          <w:color w:val="000000"/>
        </w:rPr>
        <w:t>goals of this guidance are to:</w:t>
      </w:r>
      <w:r>
        <w:rPr>
          <w:rFonts w:ascii="Times New Roman" w:hAnsi="Times New Roman" w:cs="Times New Roman"/>
          <w:color w:val="000000"/>
        </w:rPr>
        <w:t xml:space="preserve"> 1) ensure delivery of high quality educational experiences for students, 2) promote fairness of teaching assignments across faculty members (i.e., not equivalence), and 3) ensure that students have the access they seek to the esteemed faculty that </w:t>
      </w:r>
      <w:r w:rsidR="00C76ADF">
        <w:rPr>
          <w:rFonts w:ascii="Times New Roman" w:hAnsi="Times New Roman" w:cs="Times New Roman"/>
          <w:color w:val="000000"/>
        </w:rPr>
        <w:t xml:space="preserve">originally </w:t>
      </w:r>
      <w:r>
        <w:rPr>
          <w:rFonts w:ascii="Times New Roman" w:hAnsi="Times New Roman" w:cs="Times New Roman"/>
          <w:color w:val="000000"/>
        </w:rPr>
        <w:t xml:space="preserve">attracted them to our academic programs, college, and university.  </w:t>
      </w:r>
      <w:r w:rsidR="009F0FC5">
        <w:rPr>
          <w:rFonts w:ascii="Times New Roman" w:hAnsi="Times New Roman" w:cs="Times New Roman"/>
          <w:color w:val="000000"/>
        </w:rPr>
        <w:t>In the inter</w:t>
      </w:r>
      <w:r w:rsidR="001F67A1">
        <w:rPr>
          <w:rFonts w:ascii="Times New Roman" w:hAnsi="Times New Roman" w:cs="Times New Roman"/>
          <w:color w:val="000000"/>
        </w:rPr>
        <w:t>est of providing an unparalleled</w:t>
      </w:r>
      <w:r w:rsidR="009F0FC5">
        <w:rPr>
          <w:rFonts w:ascii="Times New Roman" w:hAnsi="Times New Roman" w:cs="Times New Roman"/>
          <w:color w:val="000000"/>
        </w:rPr>
        <w:t xml:space="preserve"> student </w:t>
      </w:r>
      <w:r w:rsidR="001F67A1">
        <w:rPr>
          <w:rFonts w:ascii="Times New Roman" w:hAnsi="Times New Roman" w:cs="Times New Roman"/>
          <w:color w:val="000000"/>
        </w:rPr>
        <w:t xml:space="preserve">academic </w:t>
      </w:r>
      <w:r w:rsidR="009F0FC5">
        <w:rPr>
          <w:rFonts w:ascii="Times New Roman" w:hAnsi="Times New Roman" w:cs="Times New Roman"/>
          <w:color w:val="000000"/>
        </w:rPr>
        <w:t xml:space="preserve">experience, faculty are encouraged to </w:t>
      </w:r>
      <w:r w:rsidR="008A335F">
        <w:rPr>
          <w:rFonts w:ascii="Times New Roman" w:hAnsi="Times New Roman" w:cs="Times New Roman"/>
          <w:color w:val="000000"/>
        </w:rPr>
        <w:t xml:space="preserve">regularly </w:t>
      </w:r>
      <w:r w:rsidR="009F0FC5">
        <w:rPr>
          <w:rFonts w:ascii="Times New Roman" w:hAnsi="Times New Roman" w:cs="Times New Roman"/>
          <w:color w:val="000000"/>
        </w:rPr>
        <w:t xml:space="preserve">teach a mixture of class sizes and instructional </w:t>
      </w:r>
      <w:r w:rsidR="008A335F">
        <w:rPr>
          <w:rFonts w:ascii="Times New Roman" w:hAnsi="Times New Roman" w:cs="Times New Roman"/>
          <w:color w:val="000000"/>
        </w:rPr>
        <w:t>formats</w:t>
      </w:r>
      <w:r w:rsidR="009F0FC5">
        <w:rPr>
          <w:rFonts w:ascii="Times New Roman" w:hAnsi="Times New Roman" w:cs="Times New Roman"/>
          <w:color w:val="000000"/>
        </w:rPr>
        <w:t xml:space="preserve">, which may include first year undergraduate, advanced graduate, synchronous or asynchronous online courses, practicum/internship/supervision sections, and a balance of small and large class sizes.  </w:t>
      </w:r>
      <w:r>
        <w:rPr>
          <w:rFonts w:ascii="Times New Roman" w:hAnsi="Times New Roman" w:cs="Times New Roman"/>
          <w:color w:val="000000"/>
        </w:rPr>
        <w:t xml:space="preserve"> </w:t>
      </w:r>
    </w:p>
    <w:p w14:paraId="02F17A6C" w14:textId="77777777" w:rsidR="009C68C4" w:rsidRDefault="009C68C4" w:rsidP="00C14EDF">
      <w:pPr>
        <w:widowControl w:val="0"/>
        <w:autoSpaceDE w:val="0"/>
        <w:autoSpaceDN w:val="0"/>
        <w:adjustRightInd w:val="0"/>
        <w:rPr>
          <w:rFonts w:ascii="Times New Roman" w:hAnsi="Times New Roman" w:cs="Times New Roman"/>
          <w:color w:val="000000"/>
        </w:rPr>
      </w:pPr>
    </w:p>
    <w:p w14:paraId="640A11F5" w14:textId="4160EE03" w:rsidR="00C14EDF" w:rsidRPr="00463D06" w:rsidRDefault="009C68C4" w:rsidP="00C14EDF">
      <w:pPr>
        <w:widowControl w:val="0"/>
        <w:autoSpaceDE w:val="0"/>
        <w:autoSpaceDN w:val="0"/>
        <w:adjustRightInd w:val="0"/>
        <w:rPr>
          <w:rFonts w:ascii="Times New Roman" w:hAnsi="Times New Roman" w:cs="Times New Roman"/>
          <w:color w:val="FF0000"/>
        </w:rPr>
      </w:pPr>
      <w:r w:rsidRPr="00463D06">
        <w:rPr>
          <w:rFonts w:ascii="Times New Roman" w:hAnsi="Times New Roman" w:cs="Times New Roman"/>
          <w:color w:val="FF0000"/>
        </w:rPr>
        <w:t xml:space="preserve">This document must be read in conjunction with the College’s professional responsibilities </w:t>
      </w:r>
      <w:r w:rsidR="00984D5C" w:rsidRPr="00463D06">
        <w:rPr>
          <w:rFonts w:ascii="Times New Roman" w:hAnsi="Times New Roman" w:cs="Times New Roman"/>
          <w:color w:val="FF0000"/>
        </w:rPr>
        <w:t>policies</w:t>
      </w:r>
      <w:r w:rsidRPr="00463D06">
        <w:rPr>
          <w:rFonts w:ascii="Times New Roman" w:hAnsi="Times New Roman" w:cs="Times New Roman"/>
          <w:color w:val="FF0000"/>
        </w:rPr>
        <w:t xml:space="preserve"> and the Collective Bargaining Agreement</w:t>
      </w:r>
      <w:r w:rsidR="00984D5C" w:rsidRPr="00463D06">
        <w:rPr>
          <w:rFonts w:ascii="Times New Roman" w:hAnsi="Times New Roman" w:cs="Times New Roman"/>
          <w:color w:val="FF0000"/>
        </w:rPr>
        <w:t xml:space="preserve"> (CBA)</w:t>
      </w:r>
      <w:r w:rsidRPr="00463D06">
        <w:rPr>
          <w:rFonts w:ascii="Times New Roman" w:hAnsi="Times New Roman" w:cs="Times New Roman"/>
          <w:color w:val="FF0000"/>
        </w:rPr>
        <w:t xml:space="preserve">. To the extent there is a conflict between this guidance and those documents, the College’s policies and/or the </w:t>
      </w:r>
      <w:r w:rsidR="00984D5C" w:rsidRPr="00463D06">
        <w:rPr>
          <w:rFonts w:ascii="Times New Roman" w:hAnsi="Times New Roman" w:cs="Times New Roman"/>
          <w:color w:val="FF0000"/>
        </w:rPr>
        <w:t xml:space="preserve">CBA </w:t>
      </w:r>
      <w:r w:rsidRPr="00463D06">
        <w:rPr>
          <w:rFonts w:ascii="Times New Roman" w:hAnsi="Times New Roman" w:cs="Times New Roman"/>
          <w:color w:val="FF0000"/>
        </w:rPr>
        <w:t xml:space="preserve">control. </w:t>
      </w:r>
    </w:p>
    <w:p w14:paraId="715FCABA" w14:textId="77777777" w:rsidR="00C14EDF" w:rsidRPr="00954166" w:rsidRDefault="00C14EDF" w:rsidP="00C14EDF">
      <w:pPr>
        <w:widowControl w:val="0"/>
        <w:autoSpaceDE w:val="0"/>
        <w:autoSpaceDN w:val="0"/>
        <w:adjustRightInd w:val="0"/>
        <w:rPr>
          <w:rFonts w:ascii="Times New Roman" w:hAnsi="Times New Roman" w:cs="Times New Roman"/>
          <w:color w:val="000000"/>
        </w:rPr>
      </w:pPr>
    </w:p>
    <w:p w14:paraId="02F142E7" w14:textId="2907C337" w:rsidR="00C14EDF" w:rsidRPr="00DA4E11" w:rsidRDefault="00C14EDF" w:rsidP="00C14EDF">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Timeline</w:t>
      </w:r>
      <w:r w:rsidR="005D1A9F">
        <w:rPr>
          <w:rFonts w:ascii="Times New Roman" w:hAnsi="Times New Roman" w:cs="Times New Roman"/>
          <w:b/>
          <w:color w:val="000000"/>
        </w:rPr>
        <w:t xml:space="preserve"> of Activities</w:t>
      </w:r>
    </w:p>
    <w:p w14:paraId="7CA038CF" w14:textId="77777777" w:rsidR="00C14EDF" w:rsidRPr="00FC0931" w:rsidRDefault="00C14EDF" w:rsidP="00C14EDF">
      <w:pPr>
        <w:widowControl w:val="0"/>
        <w:autoSpaceDE w:val="0"/>
        <w:autoSpaceDN w:val="0"/>
        <w:adjustRightInd w:val="0"/>
        <w:rPr>
          <w:rFonts w:ascii="Times New Roman" w:hAnsi="Times New Roman" w:cs="Times New Roman"/>
          <w:color w:val="000000"/>
        </w:rPr>
      </w:pPr>
    </w:p>
    <w:p w14:paraId="7D21503B" w14:textId="78F4F349" w:rsidR="007F434C" w:rsidRDefault="007F434C" w:rsidP="00C14EDF">
      <w:pPr>
        <w:widowControl w:val="0"/>
        <w:tabs>
          <w:tab w:val="left" w:pos="220"/>
          <w:tab w:val="left" w:pos="720"/>
        </w:tabs>
        <w:autoSpaceDE w:val="0"/>
        <w:autoSpaceDN w:val="0"/>
        <w:adjustRightInd w:val="0"/>
        <w:rPr>
          <w:rFonts w:ascii="Times New Roman" w:hAnsi="Times New Roman" w:cs="Times New Roman"/>
          <w:color w:val="000000"/>
        </w:rPr>
      </w:pPr>
      <w:r>
        <w:rPr>
          <w:rFonts w:ascii="Times New Roman" w:hAnsi="Times New Roman" w:cs="Times New Roman"/>
          <w:color w:val="000000"/>
        </w:rPr>
        <w:t>In consultation with faculty, staff, the office of the Associate Dean for Academic Affairs,</w:t>
      </w:r>
      <w:r w:rsidR="00715621">
        <w:rPr>
          <w:rFonts w:ascii="Times New Roman" w:hAnsi="Times New Roman" w:cs="Times New Roman"/>
          <w:color w:val="000000"/>
        </w:rPr>
        <w:t xml:space="preserve"> academic department h</w:t>
      </w:r>
      <w:r>
        <w:rPr>
          <w:rFonts w:ascii="Times New Roman" w:hAnsi="Times New Roman" w:cs="Times New Roman"/>
          <w:color w:val="000000"/>
        </w:rPr>
        <w:t>eads</w:t>
      </w:r>
      <w:r w:rsidR="00715621">
        <w:rPr>
          <w:rFonts w:ascii="Times New Roman" w:hAnsi="Times New Roman" w:cs="Times New Roman"/>
          <w:color w:val="000000"/>
        </w:rPr>
        <w:t xml:space="preserve"> will</w:t>
      </w:r>
      <w:r w:rsidR="00465ED4">
        <w:rPr>
          <w:rFonts w:ascii="Times New Roman" w:hAnsi="Times New Roman" w:cs="Times New Roman"/>
          <w:color w:val="000000"/>
        </w:rPr>
        <w:t>:</w:t>
      </w:r>
    </w:p>
    <w:p w14:paraId="31FC4275" w14:textId="77777777" w:rsidR="00C14EDF" w:rsidRDefault="00C14EDF" w:rsidP="00C14EDF">
      <w:pPr>
        <w:widowControl w:val="0"/>
        <w:tabs>
          <w:tab w:val="left" w:pos="220"/>
          <w:tab w:val="left" w:pos="720"/>
        </w:tabs>
        <w:autoSpaceDE w:val="0"/>
        <w:autoSpaceDN w:val="0"/>
        <w:adjustRightInd w:val="0"/>
        <w:ind w:left="720"/>
        <w:rPr>
          <w:rFonts w:ascii="Times New Roman" w:hAnsi="Times New Roman" w:cs="Times New Roman"/>
          <w:color w:val="000000"/>
        </w:rPr>
      </w:pPr>
    </w:p>
    <w:p w14:paraId="2D859B2A" w14:textId="39C9F1E7" w:rsidR="00C14EDF" w:rsidRDefault="0027438E" w:rsidP="003E31B7">
      <w:pPr>
        <w:widowControl w:val="0"/>
        <w:tabs>
          <w:tab w:val="left" w:pos="220"/>
          <w:tab w:val="left" w:pos="720"/>
        </w:tabs>
        <w:autoSpaceDE w:val="0"/>
        <w:autoSpaceDN w:val="0"/>
        <w:adjustRightInd w:val="0"/>
        <w:ind w:left="720"/>
        <w:rPr>
          <w:rFonts w:ascii="Times New Roman" w:hAnsi="Times New Roman" w:cs="Times New Roman"/>
          <w:color w:val="000000"/>
        </w:rPr>
      </w:pPr>
      <w:r>
        <w:rPr>
          <w:rFonts w:ascii="Times New Roman" w:hAnsi="Times New Roman" w:cs="Times New Roman"/>
          <w:color w:val="000000"/>
        </w:rPr>
        <w:t>1</w:t>
      </w:r>
      <w:r w:rsidR="007F434C">
        <w:rPr>
          <w:rFonts w:ascii="Times New Roman" w:hAnsi="Times New Roman" w:cs="Times New Roman"/>
          <w:color w:val="000000"/>
        </w:rPr>
        <w:t xml:space="preserve">. </w:t>
      </w:r>
      <w:r w:rsidR="00431188">
        <w:rPr>
          <w:rFonts w:ascii="Times New Roman" w:hAnsi="Times New Roman" w:cs="Times New Roman"/>
          <w:color w:val="000000"/>
        </w:rPr>
        <w:t>In collaboration with academic program coordinators and faculty, p</w:t>
      </w:r>
      <w:r w:rsidR="000231E3">
        <w:rPr>
          <w:rFonts w:ascii="Times New Roman" w:hAnsi="Times New Roman" w:cs="Times New Roman"/>
          <w:color w:val="000000"/>
        </w:rPr>
        <w:t>repare</w:t>
      </w:r>
      <w:r w:rsidR="00465ED4">
        <w:rPr>
          <w:rFonts w:ascii="Times New Roman" w:hAnsi="Times New Roman" w:cs="Times New Roman"/>
          <w:color w:val="000000"/>
        </w:rPr>
        <w:t xml:space="preserve"> a one </w:t>
      </w:r>
      <w:r w:rsidR="00C14EDF">
        <w:rPr>
          <w:rFonts w:ascii="Times New Roman" w:hAnsi="Times New Roman" w:cs="Times New Roman"/>
          <w:color w:val="000000"/>
        </w:rPr>
        <w:lastRenderedPageBreak/>
        <w:t xml:space="preserve">academic </w:t>
      </w:r>
      <w:r w:rsidR="00C14EDF" w:rsidRPr="00FC0931">
        <w:rPr>
          <w:rFonts w:ascii="Times New Roman" w:hAnsi="Times New Roman" w:cs="Times New Roman"/>
          <w:color w:val="000000"/>
        </w:rPr>
        <w:t xml:space="preserve">year </w:t>
      </w:r>
      <w:r w:rsidR="00C14EDF">
        <w:rPr>
          <w:rFonts w:ascii="Times New Roman" w:hAnsi="Times New Roman" w:cs="Times New Roman"/>
          <w:color w:val="000000"/>
        </w:rPr>
        <w:t xml:space="preserve">instructional </w:t>
      </w:r>
      <w:r w:rsidR="00C14EDF" w:rsidRPr="00FC0931">
        <w:rPr>
          <w:rFonts w:ascii="Times New Roman" w:hAnsi="Times New Roman" w:cs="Times New Roman"/>
          <w:color w:val="000000"/>
        </w:rPr>
        <w:t>plan</w:t>
      </w:r>
      <w:r w:rsidR="00465ED4">
        <w:rPr>
          <w:rFonts w:ascii="Times New Roman" w:hAnsi="Times New Roman" w:cs="Times New Roman"/>
          <w:color w:val="000000"/>
        </w:rPr>
        <w:t>/course schedule</w:t>
      </w:r>
      <w:r w:rsidR="00C14EDF" w:rsidRPr="00FC0931">
        <w:rPr>
          <w:rFonts w:ascii="Times New Roman" w:hAnsi="Times New Roman" w:cs="Times New Roman"/>
          <w:color w:val="000000"/>
        </w:rPr>
        <w:t xml:space="preserve"> for the </w:t>
      </w:r>
      <w:r w:rsidR="00C14EDF">
        <w:rPr>
          <w:rFonts w:ascii="Times New Roman" w:hAnsi="Times New Roman" w:cs="Times New Roman"/>
          <w:color w:val="000000"/>
        </w:rPr>
        <w:t>following academic year</w:t>
      </w:r>
      <w:r w:rsidR="00C14EDF" w:rsidRPr="00FC0931">
        <w:rPr>
          <w:rFonts w:ascii="Times New Roman" w:hAnsi="Times New Roman" w:cs="Times New Roman"/>
          <w:color w:val="000000"/>
        </w:rPr>
        <w:t>, which</w:t>
      </w:r>
      <w:r w:rsidR="00C14EDF">
        <w:rPr>
          <w:rFonts w:ascii="Times New Roman" w:hAnsi="Times New Roman" w:cs="Times New Roman"/>
          <w:color w:val="000000"/>
        </w:rPr>
        <w:t xml:space="preserve"> includes preliminary faculty and anticipated graduate employee teaching assignments</w:t>
      </w:r>
      <w:r w:rsidR="00715621">
        <w:rPr>
          <w:rFonts w:ascii="Times New Roman" w:hAnsi="Times New Roman" w:cs="Times New Roman"/>
          <w:color w:val="000000"/>
        </w:rPr>
        <w:t>,</w:t>
      </w:r>
      <w:r w:rsidR="007F434C">
        <w:rPr>
          <w:rFonts w:ascii="Times New Roman" w:hAnsi="Times New Roman" w:cs="Times New Roman"/>
          <w:color w:val="000000"/>
        </w:rPr>
        <w:t xml:space="preserve"> by November </w:t>
      </w:r>
      <w:r w:rsidR="0020606F">
        <w:rPr>
          <w:rFonts w:ascii="Times New Roman" w:hAnsi="Times New Roman" w:cs="Times New Roman"/>
          <w:color w:val="000000"/>
        </w:rPr>
        <w:t xml:space="preserve">1 </w:t>
      </w:r>
      <w:r w:rsidR="007D45C3">
        <w:rPr>
          <w:rFonts w:ascii="Times New Roman" w:hAnsi="Times New Roman" w:cs="Times New Roman"/>
          <w:color w:val="000000"/>
        </w:rPr>
        <w:t>of the prior</w:t>
      </w:r>
      <w:r w:rsidR="007F434C">
        <w:rPr>
          <w:rFonts w:ascii="Times New Roman" w:hAnsi="Times New Roman" w:cs="Times New Roman"/>
          <w:color w:val="000000"/>
        </w:rPr>
        <w:t xml:space="preserve"> academic year.</w:t>
      </w:r>
    </w:p>
    <w:p w14:paraId="4DB381F2" w14:textId="3FA4FE58" w:rsidR="00C14EDF" w:rsidRDefault="00C14EDF" w:rsidP="003E31B7">
      <w:pPr>
        <w:widowControl w:val="0"/>
        <w:tabs>
          <w:tab w:val="left" w:pos="220"/>
          <w:tab w:val="left" w:pos="720"/>
        </w:tabs>
        <w:autoSpaceDE w:val="0"/>
        <w:autoSpaceDN w:val="0"/>
        <w:adjustRightInd w:val="0"/>
        <w:rPr>
          <w:rFonts w:ascii="Times New Roman" w:hAnsi="Times New Roman" w:cs="Times New Roman"/>
          <w:color w:val="000000"/>
        </w:rPr>
      </w:pPr>
    </w:p>
    <w:p w14:paraId="7A8CF8A7" w14:textId="295C0CD1" w:rsidR="00C14EDF" w:rsidRDefault="0027438E" w:rsidP="00431188">
      <w:pPr>
        <w:widowControl w:val="0"/>
        <w:tabs>
          <w:tab w:val="left" w:pos="220"/>
          <w:tab w:val="left" w:pos="720"/>
        </w:tabs>
        <w:autoSpaceDE w:val="0"/>
        <w:autoSpaceDN w:val="0"/>
        <w:adjustRightInd w:val="0"/>
        <w:ind w:left="720"/>
        <w:rPr>
          <w:rFonts w:ascii="Times New Roman" w:hAnsi="Times New Roman" w:cs="Times New Roman"/>
          <w:color w:val="000000"/>
        </w:rPr>
      </w:pPr>
      <w:r>
        <w:rPr>
          <w:rFonts w:ascii="Times New Roman" w:hAnsi="Times New Roman" w:cs="Times New Roman"/>
          <w:color w:val="000000"/>
        </w:rPr>
        <w:t>2</w:t>
      </w:r>
      <w:r w:rsidR="007F434C">
        <w:rPr>
          <w:rFonts w:ascii="Times New Roman" w:hAnsi="Times New Roman" w:cs="Times New Roman"/>
          <w:color w:val="000000"/>
        </w:rPr>
        <w:t xml:space="preserve">. </w:t>
      </w:r>
      <w:r w:rsidR="000231E3">
        <w:rPr>
          <w:rFonts w:ascii="Times New Roman" w:hAnsi="Times New Roman" w:cs="Times New Roman"/>
          <w:color w:val="000000"/>
        </w:rPr>
        <w:t>C</w:t>
      </w:r>
      <w:r w:rsidR="00C14EDF">
        <w:rPr>
          <w:rFonts w:ascii="Times New Roman" w:hAnsi="Times New Roman" w:cs="Times New Roman"/>
          <w:color w:val="000000"/>
        </w:rPr>
        <w:t>ompare and c</w:t>
      </w:r>
      <w:r w:rsidR="00465ED4">
        <w:rPr>
          <w:rFonts w:ascii="Times New Roman" w:hAnsi="Times New Roman" w:cs="Times New Roman"/>
          <w:color w:val="000000"/>
        </w:rPr>
        <w:t xml:space="preserve">oordinate course offerings, </w:t>
      </w:r>
      <w:r w:rsidR="00C14EDF">
        <w:rPr>
          <w:rFonts w:ascii="Times New Roman" w:hAnsi="Times New Roman" w:cs="Times New Roman"/>
          <w:color w:val="000000"/>
        </w:rPr>
        <w:t xml:space="preserve">faculty workload and </w:t>
      </w:r>
      <w:r w:rsidR="007F434C">
        <w:rPr>
          <w:rFonts w:ascii="Times New Roman" w:hAnsi="Times New Roman" w:cs="Times New Roman"/>
          <w:color w:val="000000"/>
        </w:rPr>
        <w:t xml:space="preserve">course </w:t>
      </w:r>
      <w:r w:rsidR="00C14EDF">
        <w:rPr>
          <w:rFonts w:ascii="Times New Roman" w:hAnsi="Times New Roman" w:cs="Times New Roman"/>
          <w:color w:val="000000"/>
        </w:rPr>
        <w:t>coverage across academic departments to produce a second draft of the course schedule</w:t>
      </w:r>
      <w:r w:rsidR="007F434C">
        <w:rPr>
          <w:rFonts w:ascii="Times New Roman" w:hAnsi="Times New Roman" w:cs="Times New Roman"/>
          <w:color w:val="000000"/>
        </w:rPr>
        <w:t xml:space="preserve"> by February</w:t>
      </w:r>
      <w:r w:rsidR="0020606F">
        <w:rPr>
          <w:rFonts w:ascii="Times New Roman" w:hAnsi="Times New Roman" w:cs="Times New Roman"/>
          <w:color w:val="000000"/>
        </w:rPr>
        <w:t xml:space="preserve"> 1</w:t>
      </w:r>
      <w:r w:rsidR="007F434C">
        <w:rPr>
          <w:rFonts w:ascii="Times New Roman" w:hAnsi="Times New Roman" w:cs="Times New Roman"/>
          <w:color w:val="000000"/>
        </w:rPr>
        <w:t xml:space="preserve">, </w:t>
      </w:r>
      <w:r w:rsidR="00431188">
        <w:rPr>
          <w:rFonts w:ascii="Times New Roman" w:hAnsi="Times New Roman" w:cs="Times New Roman"/>
          <w:color w:val="000000"/>
        </w:rPr>
        <w:t>and</w:t>
      </w:r>
      <w:r w:rsidR="00C14EDF">
        <w:rPr>
          <w:rFonts w:ascii="Times New Roman" w:hAnsi="Times New Roman" w:cs="Times New Roman"/>
          <w:color w:val="000000"/>
        </w:rPr>
        <w:t xml:space="preserve"> </w:t>
      </w:r>
    </w:p>
    <w:p w14:paraId="0D2C1369" w14:textId="77777777" w:rsidR="00C14EDF" w:rsidRDefault="00C14EDF" w:rsidP="006D7AA5">
      <w:pPr>
        <w:widowControl w:val="0"/>
        <w:tabs>
          <w:tab w:val="left" w:pos="220"/>
          <w:tab w:val="left" w:pos="720"/>
        </w:tabs>
        <w:autoSpaceDE w:val="0"/>
        <w:autoSpaceDN w:val="0"/>
        <w:adjustRightInd w:val="0"/>
        <w:rPr>
          <w:rFonts w:ascii="Times New Roman" w:hAnsi="Times New Roman" w:cs="Times New Roman"/>
          <w:color w:val="000000"/>
        </w:rPr>
      </w:pPr>
    </w:p>
    <w:p w14:paraId="3522D34A" w14:textId="6E5545A9" w:rsidR="00C14EDF" w:rsidRDefault="007F434C" w:rsidP="003E31B7">
      <w:pPr>
        <w:widowControl w:val="0"/>
        <w:tabs>
          <w:tab w:val="left" w:pos="220"/>
          <w:tab w:val="left" w:pos="720"/>
        </w:tabs>
        <w:autoSpaceDE w:val="0"/>
        <w:autoSpaceDN w:val="0"/>
        <w:adjustRightInd w:val="0"/>
        <w:ind w:left="720"/>
        <w:rPr>
          <w:rFonts w:ascii="Times New Roman" w:hAnsi="Times New Roman" w:cs="Times New Roman"/>
          <w:color w:val="000000"/>
        </w:rPr>
      </w:pPr>
      <w:r>
        <w:rPr>
          <w:rFonts w:ascii="Times New Roman" w:hAnsi="Times New Roman" w:cs="Times New Roman"/>
          <w:color w:val="000000"/>
        </w:rPr>
        <w:t xml:space="preserve">3. </w:t>
      </w:r>
      <w:r w:rsidR="000231E3">
        <w:rPr>
          <w:rFonts w:ascii="Times New Roman" w:hAnsi="Times New Roman" w:cs="Times New Roman"/>
          <w:color w:val="000000"/>
        </w:rPr>
        <w:t>C</w:t>
      </w:r>
      <w:r w:rsidR="00431188">
        <w:rPr>
          <w:rFonts w:ascii="Times New Roman" w:hAnsi="Times New Roman" w:cs="Times New Roman"/>
          <w:color w:val="000000"/>
        </w:rPr>
        <w:t>onsult with academic program coordinators and faculty to c</w:t>
      </w:r>
      <w:r w:rsidR="00161752">
        <w:rPr>
          <w:rFonts w:ascii="Times New Roman" w:hAnsi="Times New Roman" w:cs="Times New Roman"/>
          <w:color w:val="000000"/>
        </w:rPr>
        <w:t xml:space="preserve">reate a final course schedule for approval by </w:t>
      </w:r>
      <w:r w:rsidR="00C14EDF">
        <w:rPr>
          <w:rFonts w:ascii="Times New Roman" w:hAnsi="Times New Roman" w:cs="Times New Roman"/>
          <w:color w:val="000000"/>
        </w:rPr>
        <w:t>the Associate Dean</w:t>
      </w:r>
      <w:r w:rsidR="00431188">
        <w:rPr>
          <w:rFonts w:ascii="Times New Roman" w:hAnsi="Times New Roman" w:cs="Times New Roman"/>
          <w:color w:val="000000"/>
        </w:rPr>
        <w:t xml:space="preserve"> for Academic Affairs or another Dean designee</w:t>
      </w:r>
      <w:r w:rsidR="00C14EDF">
        <w:rPr>
          <w:rFonts w:ascii="Times New Roman" w:hAnsi="Times New Roman" w:cs="Times New Roman"/>
          <w:color w:val="000000"/>
        </w:rPr>
        <w:t xml:space="preserve"> </w:t>
      </w:r>
      <w:r w:rsidR="00161752">
        <w:rPr>
          <w:rFonts w:ascii="Times New Roman" w:hAnsi="Times New Roman" w:cs="Times New Roman"/>
          <w:color w:val="000000"/>
        </w:rPr>
        <w:t>by April</w:t>
      </w:r>
      <w:r w:rsidR="0020606F">
        <w:rPr>
          <w:rFonts w:ascii="Times New Roman" w:hAnsi="Times New Roman" w:cs="Times New Roman"/>
          <w:color w:val="000000"/>
        </w:rPr>
        <w:t xml:space="preserve"> 1</w:t>
      </w:r>
      <w:r w:rsidR="00E0042E">
        <w:rPr>
          <w:rFonts w:ascii="Times New Roman" w:hAnsi="Times New Roman" w:cs="Times New Roman"/>
          <w:color w:val="000000"/>
        </w:rPr>
        <w:t>.</w:t>
      </w:r>
    </w:p>
    <w:p w14:paraId="14108A9D" w14:textId="77777777" w:rsidR="00C14EDF" w:rsidRDefault="00C14EDF" w:rsidP="00C14EDF">
      <w:pPr>
        <w:widowControl w:val="0"/>
        <w:autoSpaceDE w:val="0"/>
        <w:autoSpaceDN w:val="0"/>
        <w:adjustRightInd w:val="0"/>
        <w:rPr>
          <w:rFonts w:ascii="Times New Roman" w:hAnsi="Times New Roman" w:cs="Times New Roman"/>
          <w:color w:val="000000"/>
        </w:rPr>
      </w:pPr>
    </w:p>
    <w:p w14:paraId="59A25C82" w14:textId="77777777" w:rsidR="00C14EDF" w:rsidRPr="00846EA2" w:rsidRDefault="00C14EDF" w:rsidP="00C14EDF">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Academic Year </w:t>
      </w:r>
      <w:r w:rsidRPr="00846EA2">
        <w:rPr>
          <w:rFonts w:ascii="Times New Roman" w:hAnsi="Times New Roman" w:cs="Times New Roman"/>
          <w:b/>
          <w:color w:val="000000"/>
        </w:rPr>
        <w:t>Distribution of Teaching Assignments</w:t>
      </w:r>
    </w:p>
    <w:p w14:paraId="44C3DF43" w14:textId="77777777" w:rsidR="00C14EDF" w:rsidRDefault="00C14EDF" w:rsidP="00C14EDF">
      <w:pPr>
        <w:widowControl w:val="0"/>
        <w:autoSpaceDE w:val="0"/>
        <w:autoSpaceDN w:val="0"/>
        <w:adjustRightInd w:val="0"/>
        <w:rPr>
          <w:rFonts w:ascii="Times New Roman" w:hAnsi="Times New Roman" w:cs="Times New Roman"/>
          <w:color w:val="000000"/>
        </w:rPr>
      </w:pPr>
    </w:p>
    <w:p w14:paraId="3AFA8AA6" w14:textId="6073BD60" w:rsidR="00C14EDF" w:rsidRDefault="00C14EDF" w:rsidP="004717A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The standard teaching workload for tenure-related faculty is five courses, and for career-track faculty, eight courses.  Tenure-related faculty, however, may receive a reduction</w:t>
      </w:r>
      <w:r w:rsidR="00F35C8E">
        <w:rPr>
          <w:rFonts w:ascii="Times New Roman" w:hAnsi="Times New Roman" w:cs="Times New Roman"/>
          <w:color w:val="000000"/>
        </w:rPr>
        <w:t xml:space="preserve"> from a five-course</w:t>
      </w:r>
      <w:r>
        <w:rPr>
          <w:rFonts w:ascii="Times New Roman" w:hAnsi="Times New Roman" w:cs="Times New Roman"/>
          <w:color w:val="000000"/>
        </w:rPr>
        <w:t xml:space="preserve"> to a four-course load for a given academic year </w:t>
      </w:r>
      <w:r w:rsidR="004717A9">
        <w:rPr>
          <w:rFonts w:ascii="Times New Roman" w:hAnsi="Times New Roman" w:cs="Times New Roman"/>
          <w:color w:val="000000"/>
        </w:rPr>
        <w:t>(</w:t>
      </w:r>
      <w:r w:rsidR="001F0956">
        <w:rPr>
          <w:rFonts w:ascii="Times New Roman" w:hAnsi="Times New Roman" w:cs="Times New Roman"/>
          <w:color w:val="000000"/>
        </w:rPr>
        <w:t>See B.1. of the TTF workload policy</w:t>
      </w:r>
      <w:r w:rsidR="00465ED4">
        <w:rPr>
          <w:rFonts w:ascii="Times New Roman" w:hAnsi="Times New Roman" w:cs="Times New Roman"/>
          <w:color w:val="000000"/>
        </w:rPr>
        <w:t xml:space="preserve"> excerpted</w:t>
      </w:r>
      <w:r w:rsidR="001F0956">
        <w:rPr>
          <w:rFonts w:ascii="Times New Roman" w:hAnsi="Times New Roman" w:cs="Times New Roman"/>
          <w:color w:val="000000"/>
        </w:rPr>
        <w:t xml:space="preserve"> below</w:t>
      </w:r>
      <w:r w:rsidR="000050F3">
        <w:rPr>
          <w:rFonts w:ascii="Times New Roman" w:hAnsi="Times New Roman" w:cs="Times New Roman"/>
          <w:color w:val="000000"/>
        </w:rPr>
        <w:t xml:space="preserve"> and appended to this document</w:t>
      </w:r>
      <w:r w:rsidR="001F0956">
        <w:rPr>
          <w:rFonts w:ascii="Times New Roman" w:hAnsi="Times New Roman" w:cs="Times New Roman"/>
          <w:color w:val="000000"/>
        </w:rPr>
        <w:t>)</w:t>
      </w:r>
      <w:r w:rsidR="000050F3">
        <w:rPr>
          <w:rFonts w:ascii="Times New Roman" w:hAnsi="Times New Roman" w:cs="Times New Roman"/>
          <w:color w:val="000000"/>
        </w:rPr>
        <w:t>.</w:t>
      </w:r>
    </w:p>
    <w:p w14:paraId="257A509F" w14:textId="77777777" w:rsidR="000050F3" w:rsidRDefault="000050F3" w:rsidP="004717A9">
      <w:pPr>
        <w:widowControl w:val="0"/>
        <w:autoSpaceDE w:val="0"/>
        <w:autoSpaceDN w:val="0"/>
        <w:adjustRightInd w:val="0"/>
        <w:rPr>
          <w:rFonts w:ascii="Times New Roman" w:hAnsi="Times New Roman" w:cs="Times New Roman"/>
          <w:color w:val="000000"/>
        </w:rPr>
      </w:pPr>
    </w:p>
    <w:p w14:paraId="2C6390F2" w14:textId="68F16BD2" w:rsidR="000050F3" w:rsidRPr="00221121" w:rsidRDefault="000050F3" w:rsidP="00221121">
      <w:pPr>
        <w:widowControl w:val="0"/>
        <w:autoSpaceDE w:val="0"/>
        <w:autoSpaceDN w:val="0"/>
        <w:adjustRightInd w:val="0"/>
        <w:ind w:left="720"/>
        <w:rPr>
          <w:rFonts w:ascii="Times New Roman" w:hAnsi="Times New Roman" w:cs="Times New Roman"/>
          <w:color w:val="000000"/>
        </w:rPr>
      </w:pPr>
      <w:r w:rsidRPr="00221121">
        <w:rPr>
          <w:rFonts w:ascii="Times New Roman" w:hAnsi="Times New Roman" w:cs="Times New Roman" w:hint="eastAsia"/>
          <w:color w:val="000000"/>
        </w:rPr>
        <w:t xml:space="preserve">To be eligible, faculty must take </w:t>
      </w:r>
      <w:r w:rsidRPr="00221121">
        <w:rPr>
          <w:rFonts w:ascii="Times New Roman" w:hAnsi="Times New Roman" w:cs="Times New Roman"/>
          <w:color w:val="000000"/>
        </w:rPr>
        <w:t>a</w:t>
      </w:r>
      <w:r w:rsidRPr="00221121">
        <w:rPr>
          <w:rFonts w:ascii="Times New Roman" w:hAnsi="Times New Roman" w:cs="Times New Roman" w:hint="cs"/>
          <w:color w:val="000000"/>
        </w:rPr>
        <w:t> </w:t>
      </w:r>
      <w:r w:rsidRPr="00221121">
        <w:rPr>
          <w:rFonts w:ascii="Times New Roman" w:hAnsi="Times New Roman" w:cs="Times New Roman"/>
          <w:color w:val="000000"/>
        </w:rPr>
        <w:t>leadership</w:t>
      </w:r>
      <w:r w:rsidRPr="00221121">
        <w:rPr>
          <w:rFonts w:ascii="Times New Roman" w:hAnsi="Times New Roman" w:cs="Times New Roman" w:hint="eastAsia"/>
          <w:color w:val="000000"/>
        </w:rPr>
        <w:t xml:space="preserve"> role (e.g., principal investigator, co-investigator) in directing or applying for major competitive external funding for research, instruction, or service. External funding must include support for any required personnel and research infrastructure at the University of </w:t>
      </w:r>
      <w:r w:rsidRPr="00221121">
        <w:rPr>
          <w:rFonts w:ascii="Times New Roman" w:hAnsi="Times New Roman" w:cs="Times New Roman"/>
          <w:color w:val="000000"/>
        </w:rPr>
        <w:t>Oregon.</w:t>
      </w:r>
      <w:r w:rsidRPr="00221121">
        <w:rPr>
          <w:rFonts w:ascii="Times New Roman" w:hAnsi="Times New Roman" w:cs="Times New Roman" w:hint="cs"/>
          <w:color w:val="000000"/>
        </w:rPr>
        <w:t> </w:t>
      </w:r>
      <w:r w:rsidRPr="00221121">
        <w:rPr>
          <w:rFonts w:ascii="Times New Roman" w:hAnsi="Times New Roman" w:cs="Times New Roman"/>
          <w:color w:val="000000"/>
        </w:rPr>
        <w:t>Upon</w:t>
      </w:r>
      <w:r w:rsidRPr="00221121">
        <w:rPr>
          <w:rFonts w:ascii="Times New Roman" w:hAnsi="Times New Roman" w:cs="Times New Roman" w:hint="eastAsia"/>
          <w:color w:val="000000"/>
        </w:rPr>
        <w:t xml:space="preserve"> recommendation of the department head, and with approval of the dean, faculty may </w:t>
      </w:r>
      <w:r w:rsidRPr="00221121">
        <w:rPr>
          <w:rFonts w:ascii="Times New Roman" w:hAnsi="Times New Roman" w:cs="Times New Roman"/>
          <w:color w:val="000000"/>
        </w:rPr>
        <w:t>also</w:t>
      </w:r>
      <w:r w:rsidRPr="00221121">
        <w:rPr>
          <w:rFonts w:ascii="Times New Roman" w:hAnsi="Times New Roman" w:cs="Times New Roman" w:hint="cs"/>
          <w:color w:val="000000"/>
        </w:rPr>
        <w:t> </w:t>
      </w:r>
      <w:r w:rsidRPr="00221121">
        <w:rPr>
          <w:rFonts w:ascii="Times New Roman" w:hAnsi="Times New Roman" w:cs="Times New Roman"/>
          <w:color w:val="000000"/>
        </w:rPr>
        <w:t>be</w:t>
      </w:r>
      <w:r w:rsidRPr="00221121">
        <w:rPr>
          <w:rFonts w:ascii="Times New Roman" w:hAnsi="Times New Roman" w:cs="Times New Roman" w:hint="cs"/>
          <w:color w:val="000000"/>
        </w:rPr>
        <w:t> </w:t>
      </w:r>
      <w:r w:rsidRPr="00221121">
        <w:rPr>
          <w:rFonts w:ascii="Times New Roman" w:hAnsi="Times New Roman" w:cs="Times New Roman"/>
          <w:color w:val="000000"/>
        </w:rPr>
        <w:t>eligible</w:t>
      </w:r>
      <w:r w:rsidRPr="00221121">
        <w:rPr>
          <w:rFonts w:ascii="Times New Roman" w:hAnsi="Times New Roman" w:cs="Times New Roman" w:hint="eastAsia"/>
          <w:color w:val="000000"/>
        </w:rPr>
        <w:t xml:space="preserve"> for a four-course load for one academic year to complete a major scholarly book.</w:t>
      </w:r>
    </w:p>
    <w:p w14:paraId="38A5CE48" w14:textId="77777777" w:rsidR="00C14EDF" w:rsidRDefault="00C14EDF" w:rsidP="00C14EDF">
      <w:pPr>
        <w:widowControl w:val="0"/>
        <w:autoSpaceDE w:val="0"/>
        <w:autoSpaceDN w:val="0"/>
        <w:adjustRightInd w:val="0"/>
        <w:rPr>
          <w:rFonts w:ascii="Times New Roman" w:hAnsi="Times New Roman" w:cs="Times New Roman"/>
          <w:color w:val="000000"/>
        </w:rPr>
      </w:pPr>
    </w:p>
    <w:p w14:paraId="7C5EB7E3" w14:textId="64631AF7" w:rsidR="00214A14" w:rsidRDefault="00C14EDF" w:rsidP="00C14ED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In order to invoke this teaching load reduction, academic department heads will forward a </w:t>
      </w:r>
      <w:r w:rsidR="00083650">
        <w:rPr>
          <w:rFonts w:ascii="Times New Roman" w:hAnsi="Times New Roman" w:cs="Times New Roman"/>
          <w:color w:val="000000"/>
        </w:rPr>
        <w:t>brief</w:t>
      </w:r>
      <w:r>
        <w:rPr>
          <w:rFonts w:ascii="Times New Roman" w:hAnsi="Times New Roman" w:cs="Times New Roman"/>
          <w:color w:val="000000"/>
        </w:rPr>
        <w:t xml:space="preserve"> rationale</w:t>
      </w:r>
      <w:r w:rsidR="00083650">
        <w:rPr>
          <w:rFonts w:ascii="Times New Roman" w:hAnsi="Times New Roman" w:cs="Times New Roman"/>
          <w:color w:val="000000"/>
        </w:rPr>
        <w:t xml:space="preserve"> describing the qualifying activities (1 page or less)</w:t>
      </w:r>
      <w:r>
        <w:rPr>
          <w:rFonts w:ascii="Times New Roman" w:hAnsi="Times New Roman" w:cs="Times New Roman"/>
          <w:color w:val="000000"/>
        </w:rPr>
        <w:t xml:space="preserve"> </w:t>
      </w:r>
      <w:r w:rsidR="00083650">
        <w:rPr>
          <w:rFonts w:ascii="Times New Roman" w:hAnsi="Times New Roman" w:cs="Times New Roman"/>
          <w:color w:val="000000"/>
        </w:rPr>
        <w:t xml:space="preserve">on behalf of each faculty member seeking the reduction </w:t>
      </w:r>
      <w:r>
        <w:rPr>
          <w:rFonts w:ascii="Times New Roman" w:hAnsi="Times New Roman" w:cs="Times New Roman"/>
          <w:color w:val="000000"/>
        </w:rPr>
        <w:t>to the Associate Dean for Academic Affairs</w:t>
      </w:r>
      <w:r w:rsidR="00647ABD">
        <w:rPr>
          <w:rFonts w:ascii="Times New Roman" w:hAnsi="Times New Roman" w:cs="Times New Roman"/>
          <w:color w:val="000000"/>
        </w:rPr>
        <w:t xml:space="preserve"> </w:t>
      </w:r>
      <w:r>
        <w:rPr>
          <w:rFonts w:ascii="Times New Roman" w:hAnsi="Times New Roman" w:cs="Times New Roman"/>
          <w:color w:val="000000"/>
        </w:rPr>
        <w:t xml:space="preserve">by </w:t>
      </w:r>
      <w:r w:rsidR="003C2383">
        <w:rPr>
          <w:rFonts w:ascii="Times New Roman" w:hAnsi="Times New Roman" w:cs="Times New Roman"/>
          <w:color w:val="000000"/>
        </w:rPr>
        <w:t>March</w:t>
      </w:r>
      <w:r w:rsidR="00647ABD">
        <w:rPr>
          <w:rFonts w:ascii="Times New Roman" w:hAnsi="Times New Roman" w:cs="Times New Roman"/>
          <w:color w:val="000000"/>
        </w:rPr>
        <w:t xml:space="preserve"> </w:t>
      </w:r>
      <w:r>
        <w:rPr>
          <w:rFonts w:ascii="Times New Roman" w:hAnsi="Times New Roman" w:cs="Times New Roman"/>
          <w:color w:val="000000"/>
        </w:rPr>
        <w:t>1</w:t>
      </w:r>
      <w:r w:rsidR="003C2383">
        <w:rPr>
          <w:rFonts w:ascii="Times New Roman" w:hAnsi="Times New Roman" w:cs="Times New Roman"/>
          <w:color w:val="000000"/>
        </w:rPr>
        <w:t>5</w:t>
      </w:r>
      <w:r w:rsidR="00647ABD">
        <w:rPr>
          <w:rFonts w:ascii="Times New Roman" w:hAnsi="Times New Roman" w:cs="Times New Roman"/>
          <w:color w:val="000000"/>
        </w:rPr>
        <w:t xml:space="preserve"> </w:t>
      </w:r>
      <w:r w:rsidR="007B63E6">
        <w:rPr>
          <w:rFonts w:ascii="Times New Roman" w:hAnsi="Times New Roman" w:cs="Times New Roman"/>
          <w:color w:val="000000"/>
        </w:rPr>
        <w:t xml:space="preserve">for the </w:t>
      </w:r>
      <w:r w:rsidR="00373E7F">
        <w:rPr>
          <w:rFonts w:ascii="Times New Roman" w:hAnsi="Times New Roman" w:cs="Times New Roman"/>
          <w:color w:val="000000"/>
        </w:rPr>
        <w:t>upcoming</w:t>
      </w:r>
      <w:r w:rsidR="007B63E6">
        <w:rPr>
          <w:rFonts w:ascii="Times New Roman" w:hAnsi="Times New Roman" w:cs="Times New Roman"/>
          <w:color w:val="000000"/>
        </w:rPr>
        <w:t xml:space="preserve"> academic year</w:t>
      </w:r>
      <w:r>
        <w:rPr>
          <w:rFonts w:ascii="Times New Roman" w:hAnsi="Times New Roman" w:cs="Times New Roman"/>
          <w:color w:val="000000"/>
        </w:rPr>
        <w:t>.</w:t>
      </w:r>
      <w:r w:rsidR="00214A14">
        <w:rPr>
          <w:rFonts w:ascii="Times New Roman" w:hAnsi="Times New Roman" w:cs="Times New Roman"/>
          <w:color w:val="000000"/>
        </w:rPr>
        <w:t xml:space="preserve"> This rationale will be submitted by faculty and will include the following:</w:t>
      </w:r>
    </w:p>
    <w:p w14:paraId="1E0C6B65" w14:textId="2AE63E8E" w:rsidR="00214A14" w:rsidRDefault="00214A14" w:rsidP="00214A14">
      <w:pPr>
        <w:pStyle w:val="ListParagraph"/>
        <w:widowControl w:val="0"/>
        <w:numPr>
          <w:ilvl w:val="0"/>
          <w:numId w:val="8"/>
        </w:numPr>
        <w:autoSpaceDE w:val="0"/>
        <w:autoSpaceDN w:val="0"/>
        <w:adjustRightInd w:val="0"/>
        <w:rPr>
          <w:rFonts w:ascii="Times New Roman" w:hAnsi="Times New Roman" w:cs="Times New Roman"/>
          <w:color w:val="000000"/>
        </w:rPr>
      </w:pPr>
      <w:r>
        <w:rPr>
          <w:rFonts w:ascii="Times New Roman" w:hAnsi="Times New Roman" w:cs="Times New Roman"/>
          <w:color w:val="000000"/>
        </w:rPr>
        <w:t>The grant notice that the faculty intends to apply for (RFA</w:t>
      </w:r>
      <w:r w:rsidR="004E4FDE">
        <w:rPr>
          <w:rFonts w:ascii="Times New Roman" w:hAnsi="Times New Roman" w:cs="Times New Roman"/>
          <w:color w:val="000000"/>
        </w:rPr>
        <w:t>,</w:t>
      </w:r>
      <w:r>
        <w:rPr>
          <w:rFonts w:ascii="Times New Roman" w:hAnsi="Times New Roman" w:cs="Times New Roman"/>
          <w:color w:val="000000"/>
        </w:rPr>
        <w:t xml:space="preserve"> PA number</w:t>
      </w:r>
      <w:r w:rsidR="004E4FDE">
        <w:rPr>
          <w:rFonts w:ascii="Times New Roman" w:hAnsi="Times New Roman" w:cs="Times New Roman"/>
          <w:color w:val="000000"/>
        </w:rPr>
        <w:t>, specific federal grant competition</w:t>
      </w:r>
      <w:r w:rsidR="00825647">
        <w:rPr>
          <w:rFonts w:ascii="Times New Roman" w:hAnsi="Times New Roman" w:cs="Times New Roman"/>
          <w:color w:val="000000"/>
        </w:rPr>
        <w:t>)</w:t>
      </w:r>
    </w:p>
    <w:p w14:paraId="160F34CB" w14:textId="73320E82" w:rsidR="00214A14" w:rsidRDefault="00214A14" w:rsidP="00214A14">
      <w:pPr>
        <w:pStyle w:val="ListParagraph"/>
        <w:widowControl w:val="0"/>
        <w:numPr>
          <w:ilvl w:val="0"/>
          <w:numId w:val="8"/>
        </w:numPr>
        <w:autoSpaceDE w:val="0"/>
        <w:autoSpaceDN w:val="0"/>
        <w:adjustRightInd w:val="0"/>
        <w:rPr>
          <w:rFonts w:ascii="Times New Roman" w:hAnsi="Times New Roman" w:cs="Times New Roman"/>
          <w:color w:val="000000"/>
        </w:rPr>
      </w:pPr>
      <w:r>
        <w:rPr>
          <w:rFonts w:ascii="Times New Roman" w:hAnsi="Times New Roman" w:cs="Times New Roman"/>
          <w:color w:val="000000"/>
        </w:rPr>
        <w:t>Draft of specific aims</w:t>
      </w:r>
      <w:r w:rsidR="001F3B33">
        <w:rPr>
          <w:rFonts w:ascii="Times New Roman" w:hAnsi="Times New Roman" w:cs="Times New Roman"/>
          <w:color w:val="000000"/>
        </w:rPr>
        <w:t xml:space="preserve"> or abstract</w:t>
      </w:r>
    </w:p>
    <w:p w14:paraId="752F1F85" w14:textId="16F16F22" w:rsidR="00214A14" w:rsidRDefault="00825647" w:rsidP="00221121">
      <w:pPr>
        <w:pStyle w:val="ListParagraph"/>
        <w:widowControl w:val="0"/>
        <w:numPr>
          <w:ilvl w:val="0"/>
          <w:numId w:val="8"/>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Key personnel including, </w:t>
      </w:r>
      <w:r w:rsidR="00214A14">
        <w:rPr>
          <w:rFonts w:ascii="Times New Roman" w:hAnsi="Times New Roman" w:cs="Times New Roman"/>
          <w:color w:val="000000"/>
        </w:rPr>
        <w:t>PI</w:t>
      </w:r>
      <w:r w:rsidR="001F3B33">
        <w:rPr>
          <w:rFonts w:ascii="Times New Roman" w:hAnsi="Times New Roman" w:cs="Times New Roman"/>
          <w:color w:val="000000"/>
        </w:rPr>
        <w:t xml:space="preserve">, </w:t>
      </w:r>
      <w:r>
        <w:rPr>
          <w:rFonts w:ascii="Times New Roman" w:hAnsi="Times New Roman" w:cs="Times New Roman"/>
          <w:color w:val="000000"/>
        </w:rPr>
        <w:t xml:space="preserve">or </w:t>
      </w:r>
      <w:r w:rsidR="00214A14">
        <w:rPr>
          <w:rFonts w:ascii="Times New Roman" w:hAnsi="Times New Roman" w:cs="Times New Roman"/>
          <w:color w:val="000000"/>
        </w:rPr>
        <w:t>Co-I</w:t>
      </w:r>
      <w:r w:rsidR="001F3B33">
        <w:rPr>
          <w:rFonts w:ascii="Times New Roman" w:hAnsi="Times New Roman" w:cs="Times New Roman"/>
          <w:color w:val="000000"/>
        </w:rPr>
        <w:t xml:space="preserve"> </w:t>
      </w:r>
    </w:p>
    <w:p w14:paraId="6B49B834" w14:textId="16C09397" w:rsidR="00EC1121" w:rsidRDefault="00EC1121" w:rsidP="00221121">
      <w:pPr>
        <w:pStyle w:val="ListParagraph"/>
        <w:widowControl w:val="0"/>
        <w:numPr>
          <w:ilvl w:val="0"/>
          <w:numId w:val="8"/>
        </w:numPr>
        <w:autoSpaceDE w:val="0"/>
        <w:autoSpaceDN w:val="0"/>
        <w:adjustRightInd w:val="0"/>
        <w:rPr>
          <w:rFonts w:ascii="Times New Roman" w:hAnsi="Times New Roman" w:cs="Times New Roman"/>
          <w:color w:val="000000"/>
        </w:rPr>
      </w:pPr>
      <w:r>
        <w:rPr>
          <w:rFonts w:ascii="Times New Roman" w:hAnsi="Times New Roman" w:cs="Times New Roman"/>
          <w:color w:val="000000"/>
        </w:rPr>
        <w:t>Draft budget</w:t>
      </w:r>
    </w:p>
    <w:p w14:paraId="7A0F83E0" w14:textId="5DE90C74" w:rsidR="00730442" w:rsidRPr="009E39C5" w:rsidRDefault="00730442" w:rsidP="009E39C5">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In the case of completion of a scholarly book</w:t>
      </w:r>
      <w:r w:rsidR="009E39C5">
        <w:rPr>
          <w:rFonts w:ascii="Times New Roman" w:hAnsi="Times New Roman" w:cs="Times New Roman"/>
          <w:color w:val="000000"/>
        </w:rPr>
        <w:t>,</w:t>
      </w:r>
      <w:r>
        <w:rPr>
          <w:rFonts w:ascii="Times New Roman" w:hAnsi="Times New Roman" w:cs="Times New Roman"/>
          <w:color w:val="000000"/>
        </w:rPr>
        <w:t xml:space="preserve"> the rationale will include:</w:t>
      </w:r>
    </w:p>
    <w:p w14:paraId="73A10D30" w14:textId="23E2CFA7" w:rsidR="00730442" w:rsidRPr="009E39C5" w:rsidRDefault="003A5160" w:rsidP="009E39C5">
      <w:pPr>
        <w:pStyle w:val="ListParagraph"/>
        <w:widowControl w:val="0"/>
        <w:numPr>
          <w:ilvl w:val="0"/>
          <w:numId w:val="10"/>
        </w:numPr>
        <w:autoSpaceDE w:val="0"/>
        <w:autoSpaceDN w:val="0"/>
        <w:adjustRightInd w:val="0"/>
        <w:rPr>
          <w:rFonts w:ascii="Times New Roman" w:hAnsi="Times New Roman" w:cs="Times New Roman"/>
          <w:color w:val="000000"/>
        </w:rPr>
      </w:pPr>
      <w:r>
        <w:rPr>
          <w:rFonts w:ascii="Times New Roman" w:hAnsi="Times New Roman" w:cs="Times New Roman"/>
          <w:color w:val="000000"/>
        </w:rPr>
        <w:t>B</w:t>
      </w:r>
      <w:r w:rsidR="007F4446" w:rsidRPr="009E39C5">
        <w:rPr>
          <w:rFonts w:ascii="Times New Roman" w:hAnsi="Times New Roman" w:cs="Times New Roman"/>
          <w:color w:val="000000"/>
        </w:rPr>
        <w:t xml:space="preserve">ook contract with </w:t>
      </w:r>
      <w:r w:rsidR="00730442">
        <w:rPr>
          <w:rFonts w:ascii="Times New Roman" w:hAnsi="Times New Roman" w:cs="Times New Roman"/>
          <w:color w:val="000000"/>
        </w:rPr>
        <w:t xml:space="preserve">a major </w:t>
      </w:r>
      <w:r w:rsidR="007F4446" w:rsidRPr="009E39C5">
        <w:rPr>
          <w:rFonts w:ascii="Times New Roman" w:hAnsi="Times New Roman" w:cs="Times New Roman"/>
          <w:color w:val="000000"/>
        </w:rPr>
        <w:t xml:space="preserve">publisher </w:t>
      </w:r>
    </w:p>
    <w:p w14:paraId="67493DEE" w14:textId="26132A88" w:rsidR="00730442" w:rsidRPr="009E39C5" w:rsidRDefault="003A5160" w:rsidP="009E39C5">
      <w:pPr>
        <w:pStyle w:val="ListParagraph"/>
        <w:widowControl w:val="0"/>
        <w:numPr>
          <w:ilvl w:val="0"/>
          <w:numId w:val="10"/>
        </w:numPr>
        <w:autoSpaceDE w:val="0"/>
        <w:autoSpaceDN w:val="0"/>
        <w:adjustRightInd w:val="0"/>
        <w:rPr>
          <w:rFonts w:ascii="Times New Roman" w:hAnsi="Times New Roman" w:cs="Times New Roman"/>
          <w:color w:val="000000"/>
        </w:rPr>
      </w:pPr>
      <w:r>
        <w:rPr>
          <w:rFonts w:ascii="Times New Roman" w:hAnsi="Times New Roman" w:cs="Times New Roman"/>
          <w:color w:val="000000"/>
        </w:rPr>
        <w:t>B</w:t>
      </w:r>
      <w:r w:rsidR="006E09C4" w:rsidRPr="009E39C5">
        <w:rPr>
          <w:rFonts w:ascii="Times New Roman" w:hAnsi="Times New Roman" w:cs="Times New Roman"/>
          <w:color w:val="000000"/>
        </w:rPr>
        <w:t xml:space="preserve">ook chapter outline with indication of chapters completed </w:t>
      </w:r>
    </w:p>
    <w:p w14:paraId="6174BF9F" w14:textId="40171A65" w:rsidR="00730442" w:rsidRPr="009E39C5" w:rsidRDefault="003A5160" w:rsidP="009E39C5">
      <w:pPr>
        <w:pStyle w:val="ListParagraph"/>
        <w:widowControl w:val="0"/>
        <w:numPr>
          <w:ilvl w:val="0"/>
          <w:numId w:val="10"/>
        </w:numPr>
        <w:autoSpaceDE w:val="0"/>
        <w:autoSpaceDN w:val="0"/>
        <w:adjustRightInd w:val="0"/>
        <w:rPr>
          <w:rFonts w:ascii="Times New Roman" w:hAnsi="Times New Roman" w:cs="Times New Roman"/>
          <w:color w:val="000000"/>
        </w:rPr>
      </w:pPr>
      <w:r w:rsidRPr="00275D57">
        <w:rPr>
          <w:rFonts w:ascii="Times New Roman" w:hAnsi="Times New Roman" w:cs="Times New Roman"/>
          <w:color w:val="000000"/>
        </w:rPr>
        <w:t>A</w:t>
      </w:r>
      <w:r w:rsidR="00730442" w:rsidRPr="009E39C5">
        <w:rPr>
          <w:rFonts w:ascii="Times New Roman" w:hAnsi="Times New Roman" w:cs="Times New Roman"/>
          <w:color w:val="000000"/>
        </w:rPr>
        <w:t>nticipated completion date</w:t>
      </w:r>
    </w:p>
    <w:p w14:paraId="508F943C" w14:textId="77777777" w:rsidR="009E39C5" w:rsidRDefault="009E39C5" w:rsidP="00C14EDF">
      <w:pPr>
        <w:widowControl w:val="0"/>
        <w:autoSpaceDE w:val="0"/>
        <w:autoSpaceDN w:val="0"/>
        <w:adjustRightInd w:val="0"/>
        <w:rPr>
          <w:rFonts w:ascii="Times New Roman" w:hAnsi="Times New Roman" w:cs="Times New Roman"/>
          <w:color w:val="000000"/>
        </w:rPr>
      </w:pPr>
    </w:p>
    <w:p w14:paraId="0E952C37" w14:textId="4116BFBB" w:rsidR="001F3B33" w:rsidRDefault="00730442" w:rsidP="00C14ED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Faculty may provide o</w:t>
      </w:r>
      <w:r w:rsidR="007F4446">
        <w:rPr>
          <w:rFonts w:ascii="Times New Roman" w:hAnsi="Times New Roman" w:cs="Times New Roman"/>
          <w:color w:val="000000"/>
        </w:rPr>
        <w:t>ther</w:t>
      </w:r>
      <w:r w:rsidR="00647ABD">
        <w:rPr>
          <w:rFonts w:ascii="Times New Roman" w:hAnsi="Times New Roman" w:cs="Times New Roman"/>
          <w:color w:val="000000"/>
        </w:rPr>
        <w:t xml:space="preserve"> </w:t>
      </w:r>
      <w:r>
        <w:rPr>
          <w:rFonts w:ascii="Times New Roman" w:hAnsi="Times New Roman" w:cs="Times New Roman"/>
          <w:color w:val="000000"/>
        </w:rPr>
        <w:t xml:space="preserve">information, for example, letter of intent (LOI) to apply for or research grant competition, </w:t>
      </w:r>
      <w:r w:rsidR="00774738">
        <w:rPr>
          <w:rFonts w:ascii="Times New Roman" w:hAnsi="Times New Roman" w:cs="Times New Roman"/>
          <w:color w:val="000000"/>
        </w:rPr>
        <w:t>that indicates the need to devote a</w:t>
      </w:r>
      <w:r w:rsidR="006E09C4">
        <w:rPr>
          <w:rFonts w:ascii="Times New Roman" w:hAnsi="Times New Roman" w:cs="Times New Roman"/>
          <w:color w:val="000000"/>
        </w:rPr>
        <w:t>dditional research FTE to finish a book</w:t>
      </w:r>
      <w:r w:rsidR="00774738">
        <w:rPr>
          <w:rFonts w:ascii="Times New Roman" w:hAnsi="Times New Roman" w:cs="Times New Roman"/>
          <w:color w:val="000000"/>
        </w:rPr>
        <w:t xml:space="preserve"> during the upcoming year</w:t>
      </w:r>
      <w:r w:rsidR="00C14EDF">
        <w:rPr>
          <w:rFonts w:ascii="Times New Roman" w:hAnsi="Times New Roman" w:cs="Times New Roman"/>
          <w:color w:val="000000"/>
        </w:rPr>
        <w:t>.</w:t>
      </w:r>
      <w:r w:rsidR="00774738">
        <w:rPr>
          <w:rFonts w:ascii="Times New Roman" w:hAnsi="Times New Roman" w:cs="Times New Roman"/>
          <w:color w:val="000000"/>
        </w:rPr>
        <w:t xml:space="preserve"> </w:t>
      </w:r>
    </w:p>
    <w:p w14:paraId="743E48A4" w14:textId="77777777" w:rsidR="001F3B33" w:rsidRDefault="001F3B33" w:rsidP="00C14EDF">
      <w:pPr>
        <w:widowControl w:val="0"/>
        <w:autoSpaceDE w:val="0"/>
        <w:autoSpaceDN w:val="0"/>
        <w:adjustRightInd w:val="0"/>
        <w:rPr>
          <w:rFonts w:ascii="Times New Roman" w:hAnsi="Times New Roman" w:cs="Times New Roman"/>
          <w:color w:val="000000"/>
        </w:rPr>
      </w:pPr>
    </w:p>
    <w:p w14:paraId="17B35934" w14:textId="7A3A3C77" w:rsidR="00A839D9" w:rsidRDefault="00214A14" w:rsidP="00C14ED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Multiple</w:t>
      </w:r>
      <w:r w:rsidR="000230AB">
        <w:rPr>
          <w:rFonts w:ascii="Times New Roman" w:hAnsi="Times New Roman" w:cs="Times New Roman"/>
          <w:color w:val="000000"/>
        </w:rPr>
        <w:t xml:space="preserve"> chapter </w:t>
      </w:r>
      <w:r w:rsidR="006E09C4">
        <w:rPr>
          <w:rFonts w:ascii="Times New Roman" w:hAnsi="Times New Roman" w:cs="Times New Roman"/>
          <w:color w:val="000000"/>
        </w:rPr>
        <w:t>technical reports</w:t>
      </w:r>
      <w:r w:rsidR="000230AB">
        <w:rPr>
          <w:rFonts w:ascii="Times New Roman" w:hAnsi="Times New Roman" w:cs="Times New Roman"/>
          <w:color w:val="000000"/>
        </w:rPr>
        <w:t xml:space="preserve">, web site creations, or software programs will not qualify as a “major scholarly book.” Similarly, state or local contracts not accompanied by funds for “required personnel and research infrastructure,” contracts or grants </w:t>
      </w:r>
      <w:r w:rsidR="00B46A52">
        <w:rPr>
          <w:rFonts w:ascii="Times New Roman" w:hAnsi="Times New Roman" w:cs="Times New Roman"/>
          <w:color w:val="000000"/>
        </w:rPr>
        <w:t xml:space="preserve">that are </w:t>
      </w:r>
      <w:r w:rsidR="000230AB">
        <w:rPr>
          <w:rFonts w:ascii="Times New Roman" w:hAnsi="Times New Roman" w:cs="Times New Roman"/>
          <w:color w:val="000000"/>
        </w:rPr>
        <w:t xml:space="preserve">not </w:t>
      </w:r>
      <w:r w:rsidR="00B46A52">
        <w:rPr>
          <w:rFonts w:ascii="Times New Roman" w:hAnsi="Times New Roman" w:cs="Times New Roman"/>
          <w:color w:val="000000"/>
        </w:rPr>
        <w:t xml:space="preserve">“competitive” or </w:t>
      </w:r>
      <w:r w:rsidR="000230AB">
        <w:rPr>
          <w:rFonts w:ascii="Times New Roman" w:hAnsi="Times New Roman" w:cs="Times New Roman"/>
          <w:color w:val="000000"/>
        </w:rPr>
        <w:t xml:space="preserve">subjected to rigorous peer review, internal </w:t>
      </w:r>
      <w:r w:rsidR="006D2D20">
        <w:rPr>
          <w:rFonts w:ascii="Times New Roman" w:hAnsi="Times New Roman" w:cs="Times New Roman"/>
          <w:color w:val="000000"/>
        </w:rPr>
        <w:t xml:space="preserve">small </w:t>
      </w:r>
      <w:r w:rsidR="000230AB">
        <w:rPr>
          <w:rFonts w:ascii="Times New Roman" w:hAnsi="Times New Roman" w:cs="Times New Roman"/>
          <w:color w:val="000000"/>
        </w:rPr>
        <w:t xml:space="preserve">grants, </w:t>
      </w:r>
      <w:r w:rsidR="006D2D20">
        <w:rPr>
          <w:rFonts w:ascii="Times New Roman" w:hAnsi="Times New Roman" w:cs="Times New Roman"/>
          <w:color w:val="000000"/>
        </w:rPr>
        <w:t xml:space="preserve">and </w:t>
      </w:r>
      <w:r w:rsidR="000230AB">
        <w:rPr>
          <w:rFonts w:ascii="Times New Roman" w:hAnsi="Times New Roman" w:cs="Times New Roman"/>
          <w:color w:val="000000"/>
        </w:rPr>
        <w:t>professional society small grants</w:t>
      </w:r>
      <w:r w:rsidR="006D2D20">
        <w:rPr>
          <w:rFonts w:ascii="Times New Roman" w:hAnsi="Times New Roman" w:cs="Times New Roman"/>
          <w:color w:val="000000"/>
        </w:rPr>
        <w:t xml:space="preserve"> </w:t>
      </w:r>
      <w:r w:rsidR="000230AB">
        <w:rPr>
          <w:rFonts w:ascii="Times New Roman" w:hAnsi="Times New Roman" w:cs="Times New Roman"/>
          <w:color w:val="000000"/>
        </w:rPr>
        <w:t xml:space="preserve">do not qualify as “major competitive external funding.” </w:t>
      </w:r>
    </w:p>
    <w:p w14:paraId="6A55F155" w14:textId="77777777" w:rsidR="00A839D9" w:rsidRDefault="00A839D9" w:rsidP="00C14EDF">
      <w:pPr>
        <w:widowControl w:val="0"/>
        <w:autoSpaceDE w:val="0"/>
        <w:autoSpaceDN w:val="0"/>
        <w:adjustRightInd w:val="0"/>
        <w:rPr>
          <w:rFonts w:ascii="Times New Roman" w:hAnsi="Times New Roman" w:cs="Times New Roman"/>
          <w:color w:val="000000"/>
        </w:rPr>
      </w:pPr>
    </w:p>
    <w:p w14:paraId="4BE7810A" w14:textId="20C634FD" w:rsidR="00C14EDF" w:rsidRPr="00221121" w:rsidRDefault="004B7EEC" w:rsidP="00C14EDF">
      <w:pPr>
        <w:widowControl w:val="0"/>
        <w:autoSpaceDE w:val="0"/>
        <w:autoSpaceDN w:val="0"/>
        <w:adjustRightInd w:val="0"/>
      </w:pPr>
      <w:r>
        <w:rPr>
          <w:rFonts w:ascii="Times New Roman" w:hAnsi="Times New Roman" w:cs="Times New Roman"/>
          <w:color w:val="000000"/>
        </w:rPr>
        <w:t xml:space="preserve">Pursuit of highly competitive external foundation grants may also qualify for a course reduction. </w:t>
      </w:r>
      <w:r w:rsidR="00221121">
        <w:rPr>
          <w:rFonts w:ascii="Times New Roman" w:hAnsi="Times New Roman" w:cs="Times New Roman"/>
          <w:color w:val="000000"/>
        </w:rPr>
        <w:t xml:space="preserve">Current </w:t>
      </w:r>
      <w:r w:rsidR="00BF6281">
        <w:rPr>
          <w:rFonts w:ascii="Times New Roman" w:hAnsi="Times New Roman" w:cs="Times New Roman"/>
          <w:color w:val="000000"/>
        </w:rPr>
        <w:t>e</w:t>
      </w:r>
      <w:r>
        <w:rPr>
          <w:rFonts w:ascii="Times New Roman" w:hAnsi="Times New Roman" w:cs="Times New Roman"/>
          <w:color w:val="000000"/>
        </w:rPr>
        <w:t xml:space="preserve">xamples </w:t>
      </w:r>
      <w:r w:rsidR="00221121">
        <w:rPr>
          <w:rFonts w:ascii="Times New Roman" w:hAnsi="Times New Roman" w:cs="Times New Roman"/>
          <w:color w:val="000000"/>
        </w:rPr>
        <w:t>of foundations that employ rigorous peer review</w:t>
      </w:r>
      <w:r>
        <w:rPr>
          <w:rFonts w:ascii="Times New Roman" w:hAnsi="Times New Roman" w:cs="Times New Roman"/>
          <w:color w:val="000000"/>
        </w:rPr>
        <w:t xml:space="preserve"> include </w:t>
      </w:r>
      <w:r w:rsidR="00221121">
        <w:rPr>
          <w:rFonts w:ascii="Times New Roman" w:hAnsi="Times New Roman" w:cs="Times New Roman"/>
          <w:color w:val="000000"/>
        </w:rPr>
        <w:t xml:space="preserve">the </w:t>
      </w:r>
      <w:r>
        <w:rPr>
          <w:rFonts w:ascii="Times New Roman" w:hAnsi="Times New Roman" w:cs="Times New Roman"/>
          <w:color w:val="000000"/>
        </w:rPr>
        <w:t>W. K. Kellogg Foundation (</w:t>
      </w:r>
      <w:hyperlink r:id="rId8" w:history="1">
        <w:r>
          <w:rPr>
            <w:rStyle w:val="Hyperlink"/>
          </w:rPr>
          <w:t>https://www.wkkf.org/grants</w:t>
        </w:r>
      </w:hyperlink>
      <w:r>
        <w:t>)</w:t>
      </w:r>
      <w:r>
        <w:rPr>
          <w:rFonts w:ascii="Times New Roman" w:hAnsi="Times New Roman" w:cs="Times New Roman"/>
          <w:color w:val="000000"/>
        </w:rPr>
        <w:t>, Spencer Foundation (</w:t>
      </w:r>
      <w:hyperlink r:id="rId9" w:history="1">
        <w:r>
          <w:rPr>
            <w:rStyle w:val="Hyperlink"/>
          </w:rPr>
          <w:t>https://www.spencer.org/</w:t>
        </w:r>
      </w:hyperlink>
      <w:r>
        <w:t>)</w:t>
      </w:r>
      <w:r>
        <w:rPr>
          <w:rFonts w:ascii="Times New Roman" w:hAnsi="Times New Roman" w:cs="Times New Roman"/>
          <w:color w:val="000000"/>
        </w:rPr>
        <w:t>, or W.T. Grant Foundation (</w:t>
      </w:r>
      <w:hyperlink r:id="rId10" w:history="1">
        <w:r>
          <w:rPr>
            <w:rStyle w:val="Hyperlink"/>
          </w:rPr>
          <w:t>http://wtgrantfoundation.org/grants</w:t>
        </w:r>
      </w:hyperlink>
      <w:r>
        <w:t xml:space="preserve">). </w:t>
      </w:r>
    </w:p>
    <w:p w14:paraId="29E2B1EE" w14:textId="1FE80766" w:rsidR="00CA0049" w:rsidRDefault="00CA0049" w:rsidP="00CA0049">
      <w:pPr>
        <w:widowControl w:val="0"/>
        <w:autoSpaceDE w:val="0"/>
        <w:autoSpaceDN w:val="0"/>
        <w:adjustRightInd w:val="0"/>
        <w:rPr>
          <w:rFonts w:ascii="Times New Roman" w:hAnsi="Times New Roman" w:cs="Times New Roman"/>
          <w:color w:val="000000"/>
        </w:rPr>
      </w:pPr>
    </w:p>
    <w:p w14:paraId="5AF03942" w14:textId="6EEB8F65" w:rsidR="003B3CD0" w:rsidRPr="009E39C5" w:rsidRDefault="009C2712" w:rsidP="00CA0049">
      <w:pPr>
        <w:widowControl w:val="0"/>
        <w:autoSpaceDE w:val="0"/>
        <w:autoSpaceDN w:val="0"/>
        <w:adjustRightInd w:val="0"/>
        <w:rPr>
          <w:rFonts w:ascii="Times New Roman" w:hAnsi="Times New Roman" w:cs="Times New Roman"/>
        </w:rPr>
      </w:pPr>
      <w:bookmarkStart w:id="0" w:name="_GoBack"/>
      <w:r w:rsidRPr="009E39C5">
        <w:rPr>
          <w:rFonts w:ascii="Times New Roman" w:hAnsi="Times New Roman" w:cs="Times New Roman"/>
        </w:rPr>
        <w:t>A course reduction for making a grant application</w:t>
      </w:r>
      <w:r w:rsidR="008D22A1" w:rsidRPr="009E39C5">
        <w:rPr>
          <w:rFonts w:ascii="Times New Roman" w:hAnsi="Times New Roman" w:cs="Times New Roman"/>
        </w:rPr>
        <w:t xml:space="preserve"> or finishing a scholarly book can only be granted for a single </w:t>
      </w:r>
      <w:r w:rsidR="006914F7" w:rsidRPr="009E39C5">
        <w:rPr>
          <w:rFonts w:ascii="Times New Roman" w:hAnsi="Times New Roman" w:cs="Times New Roman"/>
        </w:rPr>
        <w:t xml:space="preserve">project. </w:t>
      </w:r>
      <w:r w:rsidR="004347AD" w:rsidRPr="009E39C5">
        <w:rPr>
          <w:rFonts w:ascii="Times New Roman" w:hAnsi="Times New Roman" w:cs="Times New Roman"/>
        </w:rPr>
        <w:t xml:space="preserve">Revisions of an unsuccessful grant proposal or completion that extends beyond the teaching reduction year </w:t>
      </w:r>
      <w:proofErr w:type="gramStart"/>
      <w:r w:rsidR="004347AD" w:rsidRPr="009E39C5">
        <w:rPr>
          <w:rFonts w:ascii="Times New Roman" w:hAnsi="Times New Roman" w:cs="Times New Roman"/>
        </w:rPr>
        <w:t>are expected to be completed</w:t>
      </w:r>
      <w:proofErr w:type="gramEnd"/>
      <w:r w:rsidR="004347AD" w:rsidRPr="009E39C5">
        <w:rPr>
          <w:rFonts w:ascii="Times New Roman" w:hAnsi="Times New Roman" w:cs="Times New Roman"/>
        </w:rPr>
        <w:t xml:space="preserve"> as part of a TTF assigned research time.</w:t>
      </w:r>
      <w:r w:rsidR="008D22A1" w:rsidRPr="009E39C5">
        <w:rPr>
          <w:rFonts w:ascii="Times New Roman" w:hAnsi="Times New Roman" w:cs="Times New Roman"/>
        </w:rPr>
        <w:t xml:space="preserve"> </w:t>
      </w:r>
    </w:p>
    <w:bookmarkEnd w:id="0"/>
    <w:p w14:paraId="0B4E3128" w14:textId="7C09BD41" w:rsidR="00C14EDF" w:rsidRDefault="00C14EDF" w:rsidP="00C14EDF">
      <w:pPr>
        <w:widowControl w:val="0"/>
        <w:autoSpaceDE w:val="0"/>
        <w:autoSpaceDN w:val="0"/>
        <w:adjustRightInd w:val="0"/>
        <w:rPr>
          <w:rFonts w:ascii="Times New Roman" w:hAnsi="Times New Roman" w:cs="Times New Roman"/>
          <w:color w:val="000000"/>
        </w:rPr>
      </w:pPr>
    </w:p>
    <w:p w14:paraId="51C07ACF" w14:textId="0D508C65" w:rsidR="00C14EDF" w:rsidRDefault="00C14EDF" w:rsidP="00C14ED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Assuming either a four- or five-course load, </w:t>
      </w:r>
      <w:r w:rsidRPr="00FC0931">
        <w:rPr>
          <w:rFonts w:ascii="Times New Roman" w:hAnsi="Times New Roman" w:cs="Times New Roman"/>
          <w:color w:val="000000"/>
        </w:rPr>
        <w:t>tenured</w:t>
      </w:r>
      <w:r>
        <w:rPr>
          <w:rFonts w:ascii="Times New Roman" w:hAnsi="Times New Roman" w:cs="Times New Roman"/>
          <w:color w:val="000000"/>
        </w:rPr>
        <w:t xml:space="preserve">-related faculty (TTF) who do not have a course release, or buyout due to external research funding, </w:t>
      </w:r>
      <w:r w:rsidRPr="00FC0931">
        <w:rPr>
          <w:rFonts w:ascii="Times New Roman" w:hAnsi="Times New Roman" w:cs="Times New Roman"/>
          <w:color w:val="000000"/>
        </w:rPr>
        <w:t>are assigned a teaching load that is balanced across the academic year (e.</w:t>
      </w:r>
      <w:r>
        <w:rPr>
          <w:rFonts w:ascii="Times New Roman" w:hAnsi="Times New Roman" w:cs="Times New Roman"/>
          <w:color w:val="000000"/>
        </w:rPr>
        <w:t>g.</w:t>
      </w:r>
      <w:r w:rsidRPr="00FC0931">
        <w:rPr>
          <w:rFonts w:ascii="Times New Roman" w:hAnsi="Times New Roman" w:cs="Times New Roman"/>
          <w:color w:val="000000"/>
        </w:rPr>
        <w:t xml:space="preserve">, </w:t>
      </w:r>
      <w:r>
        <w:rPr>
          <w:rFonts w:ascii="Times New Roman" w:hAnsi="Times New Roman" w:cs="Times New Roman"/>
          <w:color w:val="000000"/>
        </w:rPr>
        <w:t xml:space="preserve">the number of courses distributed across successive quarters could be, for example, 1+2+1, </w:t>
      </w:r>
      <w:r w:rsidRPr="00FC0931">
        <w:rPr>
          <w:rFonts w:ascii="Times New Roman" w:hAnsi="Times New Roman" w:cs="Times New Roman"/>
          <w:color w:val="000000"/>
        </w:rPr>
        <w:t>2+2+1</w:t>
      </w:r>
      <w:r>
        <w:rPr>
          <w:rFonts w:ascii="Times New Roman" w:hAnsi="Times New Roman" w:cs="Times New Roman"/>
          <w:color w:val="000000"/>
        </w:rPr>
        <w:t>, or</w:t>
      </w:r>
      <w:r w:rsidRPr="00FC0931">
        <w:rPr>
          <w:rFonts w:ascii="Times New Roman" w:hAnsi="Times New Roman" w:cs="Times New Roman"/>
          <w:color w:val="000000"/>
        </w:rPr>
        <w:t xml:space="preserve"> 2 + 1+ </w:t>
      </w:r>
      <w:r>
        <w:rPr>
          <w:rFonts w:ascii="Times New Roman" w:hAnsi="Times New Roman" w:cs="Times New Roman"/>
          <w:color w:val="000000"/>
        </w:rPr>
        <w:t>1</w:t>
      </w:r>
      <w:r w:rsidRPr="00FC0931">
        <w:rPr>
          <w:rFonts w:ascii="Times New Roman" w:hAnsi="Times New Roman" w:cs="Times New Roman"/>
          <w:color w:val="000000"/>
        </w:rPr>
        <w:t xml:space="preserve"> for fall, winter, and spring quarters).  However, to provide some flexibility for departments and members of the faculty to most effectively balance their teaching obligations </w:t>
      </w:r>
      <w:r w:rsidR="00F8345E">
        <w:rPr>
          <w:rFonts w:ascii="Times New Roman" w:hAnsi="Times New Roman" w:cs="Times New Roman"/>
          <w:color w:val="000000"/>
        </w:rPr>
        <w:t>with their</w:t>
      </w:r>
      <w:r w:rsidRPr="00FC0931">
        <w:rPr>
          <w:rFonts w:ascii="Times New Roman" w:hAnsi="Times New Roman" w:cs="Times New Roman"/>
          <w:color w:val="000000"/>
        </w:rPr>
        <w:t xml:space="preserve"> research and service activities, the College will allow departures from a balanced fall/winter/spring teaching assignment to concen</w:t>
      </w:r>
      <w:r>
        <w:rPr>
          <w:rFonts w:ascii="Times New Roman" w:hAnsi="Times New Roman" w:cs="Times New Roman"/>
          <w:color w:val="000000"/>
        </w:rPr>
        <w:t>trate teaching assignments</w:t>
      </w:r>
      <w:r w:rsidRPr="00FC0931">
        <w:rPr>
          <w:rFonts w:ascii="Times New Roman" w:hAnsi="Times New Roman" w:cs="Times New Roman"/>
          <w:color w:val="000000"/>
        </w:rPr>
        <w:t xml:space="preserve"> </w:t>
      </w:r>
      <w:r>
        <w:rPr>
          <w:rFonts w:ascii="Times New Roman" w:hAnsi="Times New Roman" w:cs="Times New Roman"/>
          <w:color w:val="000000"/>
        </w:rPr>
        <w:t>into</w:t>
      </w:r>
      <w:r w:rsidRPr="00FC0931">
        <w:rPr>
          <w:rFonts w:ascii="Times New Roman" w:hAnsi="Times New Roman" w:cs="Times New Roman"/>
          <w:color w:val="000000"/>
        </w:rPr>
        <w:t xml:space="preserve"> two quarters u</w:t>
      </w:r>
      <w:r>
        <w:rPr>
          <w:rFonts w:ascii="Times New Roman" w:hAnsi="Times New Roman" w:cs="Times New Roman"/>
          <w:color w:val="000000"/>
        </w:rPr>
        <w:t>nder the following conditions.</w:t>
      </w:r>
    </w:p>
    <w:p w14:paraId="603448A4" w14:textId="77777777" w:rsidR="00C14EDF" w:rsidRDefault="00C14EDF" w:rsidP="00C14EDF">
      <w:pPr>
        <w:widowControl w:val="0"/>
        <w:autoSpaceDE w:val="0"/>
        <w:autoSpaceDN w:val="0"/>
        <w:adjustRightInd w:val="0"/>
        <w:rPr>
          <w:rFonts w:ascii="Times New Roman" w:hAnsi="Times New Roman" w:cs="Times New Roman"/>
          <w:color w:val="000000"/>
        </w:rPr>
      </w:pPr>
    </w:p>
    <w:p w14:paraId="6FA6B0AA" w14:textId="42DF6CC5" w:rsidR="00C14EDF" w:rsidRPr="00E87D3D" w:rsidRDefault="00C14EDF" w:rsidP="00E87D3D">
      <w:pPr>
        <w:pStyle w:val="ListParagraph"/>
        <w:widowControl w:val="0"/>
        <w:numPr>
          <w:ilvl w:val="0"/>
          <w:numId w:val="6"/>
        </w:numPr>
        <w:tabs>
          <w:tab w:val="left" w:pos="940"/>
          <w:tab w:val="left" w:pos="1440"/>
        </w:tabs>
        <w:autoSpaceDE w:val="0"/>
        <w:autoSpaceDN w:val="0"/>
        <w:adjustRightInd w:val="0"/>
        <w:rPr>
          <w:rFonts w:ascii="Times New Roman" w:hAnsi="Times New Roman" w:cs="Times New Roman"/>
          <w:color w:val="000000"/>
        </w:rPr>
      </w:pPr>
      <w:r w:rsidRPr="006D7AA5">
        <w:rPr>
          <w:rFonts w:ascii="Times New Roman" w:hAnsi="Times New Roman" w:cs="Times New Roman"/>
          <w:color w:val="000000"/>
        </w:rPr>
        <w:t xml:space="preserve">In cases of joint appointments, both academic department heads must agree on the </w:t>
      </w:r>
      <w:r w:rsidR="00465ED4">
        <w:rPr>
          <w:rFonts w:ascii="Times New Roman" w:hAnsi="Times New Roman" w:cs="Times New Roman"/>
          <w:color w:val="000000"/>
        </w:rPr>
        <w:t>consolidation</w:t>
      </w:r>
      <w:r w:rsidR="00465ED4" w:rsidRPr="006D7AA5">
        <w:rPr>
          <w:rFonts w:ascii="Times New Roman" w:hAnsi="Times New Roman" w:cs="Times New Roman"/>
          <w:color w:val="000000"/>
        </w:rPr>
        <w:t xml:space="preserve"> </w:t>
      </w:r>
      <w:r w:rsidRPr="006D7AA5">
        <w:rPr>
          <w:rFonts w:ascii="Times New Roman" w:hAnsi="Times New Roman" w:cs="Times New Roman"/>
          <w:color w:val="000000"/>
        </w:rPr>
        <w:t>of teaching</w:t>
      </w:r>
      <w:r w:rsidR="00465ED4">
        <w:rPr>
          <w:rFonts w:ascii="Times New Roman" w:hAnsi="Times New Roman" w:cs="Times New Roman"/>
          <w:color w:val="000000"/>
        </w:rPr>
        <w:t xml:space="preserve"> assignments</w:t>
      </w:r>
      <w:r w:rsidRPr="006D7AA5">
        <w:rPr>
          <w:rFonts w:ascii="Times New Roman" w:hAnsi="Times New Roman" w:cs="Times New Roman"/>
          <w:color w:val="000000"/>
        </w:rPr>
        <w:t xml:space="preserve"> </w:t>
      </w:r>
      <w:r w:rsidR="00465ED4">
        <w:rPr>
          <w:rFonts w:ascii="Times New Roman" w:hAnsi="Times New Roman" w:cs="Times New Roman"/>
          <w:color w:val="000000"/>
        </w:rPr>
        <w:t>in</w:t>
      </w:r>
      <w:r w:rsidR="007D45C3">
        <w:rPr>
          <w:rFonts w:ascii="Times New Roman" w:hAnsi="Times New Roman" w:cs="Times New Roman"/>
          <w:color w:val="000000"/>
        </w:rPr>
        <w:t>to two quarters instead of</w:t>
      </w:r>
      <w:r w:rsidR="00465ED4">
        <w:rPr>
          <w:rFonts w:ascii="Times New Roman" w:hAnsi="Times New Roman" w:cs="Times New Roman"/>
          <w:color w:val="000000"/>
        </w:rPr>
        <w:t xml:space="preserve"> </w:t>
      </w:r>
      <w:r w:rsidRPr="006D7AA5">
        <w:rPr>
          <w:rFonts w:ascii="Times New Roman" w:hAnsi="Times New Roman" w:cs="Times New Roman"/>
          <w:color w:val="000000"/>
        </w:rPr>
        <w:t>three.</w:t>
      </w:r>
    </w:p>
    <w:p w14:paraId="68D45F18" w14:textId="77777777" w:rsidR="00C14EDF" w:rsidRDefault="00C14EDF" w:rsidP="006D7AA5">
      <w:pPr>
        <w:widowControl w:val="0"/>
        <w:tabs>
          <w:tab w:val="left" w:pos="940"/>
          <w:tab w:val="left" w:pos="1440"/>
        </w:tabs>
        <w:autoSpaceDE w:val="0"/>
        <w:autoSpaceDN w:val="0"/>
        <w:adjustRightInd w:val="0"/>
        <w:ind w:left="360"/>
        <w:rPr>
          <w:rFonts w:ascii="Times New Roman" w:hAnsi="Times New Roman" w:cs="Times New Roman"/>
          <w:color w:val="000000"/>
        </w:rPr>
      </w:pPr>
    </w:p>
    <w:p w14:paraId="365106F1" w14:textId="0EF49D44" w:rsidR="00C14EDF" w:rsidRPr="006D7AA5" w:rsidRDefault="00C14EDF" w:rsidP="006D7AA5">
      <w:pPr>
        <w:pStyle w:val="ListParagraph"/>
        <w:widowControl w:val="0"/>
        <w:numPr>
          <w:ilvl w:val="0"/>
          <w:numId w:val="6"/>
        </w:numPr>
        <w:tabs>
          <w:tab w:val="left" w:pos="940"/>
          <w:tab w:val="left" w:pos="1440"/>
        </w:tabs>
        <w:autoSpaceDE w:val="0"/>
        <w:autoSpaceDN w:val="0"/>
        <w:adjustRightInd w:val="0"/>
        <w:rPr>
          <w:rFonts w:ascii="Times New Roman" w:hAnsi="Times New Roman" w:cs="Times New Roman"/>
          <w:color w:val="000000"/>
        </w:rPr>
      </w:pPr>
      <w:r w:rsidRPr="006D7AA5">
        <w:rPr>
          <w:rFonts w:ascii="Times New Roman" w:hAnsi="Times New Roman" w:cs="Times New Roman"/>
          <w:color w:val="000000"/>
        </w:rPr>
        <w:t xml:space="preserve">In the absence of a sabbatical or other approved leave, faculty are expected to be available to their students on campus to participate fully in student mentoring and advising, and university, college, and departmental service activities during all three academic quarters. </w:t>
      </w:r>
    </w:p>
    <w:p w14:paraId="5D84229E" w14:textId="77777777" w:rsidR="00C14EDF" w:rsidRPr="00FC0931" w:rsidRDefault="00C14EDF" w:rsidP="00C14EDF">
      <w:pPr>
        <w:widowControl w:val="0"/>
        <w:tabs>
          <w:tab w:val="left" w:pos="940"/>
          <w:tab w:val="left" w:pos="1440"/>
        </w:tabs>
        <w:autoSpaceDE w:val="0"/>
        <w:autoSpaceDN w:val="0"/>
        <w:adjustRightInd w:val="0"/>
        <w:rPr>
          <w:rFonts w:ascii="Times New Roman" w:hAnsi="Times New Roman" w:cs="Times New Roman"/>
          <w:color w:val="000000"/>
        </w:rPr>
      </w:pPr>
    </w:p>
    <w:p w14:paraId="3130E3C9" w14:textId="11C844F4" w:rsidR="00C14EDF" w:rsidRPr="00FC0931" w:rsidRDefault="00C14EDF" w:rsidP="00C14EDF">
      <w:pPr>
        <w:widowControl w:val="0"/>
        <w:tabs>
          <w:tab w:val="left" w:pos="220"/>
          <w:tab w:val="left" w:pos="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 Associate Dean for Academic Affairs</w:t>
      </w:r>
      <w:r w:rsidRPr="00FC0931">
        <w:rPr>
          <w:rFonts w:ascii="Times New Roman" w:hAnsi="Times New Roman" w:cs="Times New Roman"/>
          <w:color w:val="000000"/>
        </w:rPr>
        <w:t xml:space="preserve"> </w:t>
      </w:r>
      <w:r w:rsidR="00F35C8E">
        <w:rPr>
          <w:rFonts w:ascii="Times New Roman" w:hAnsi="Times New Roman" w:cs="Times New Roman"/>
          <w:color w:val="000000"/>
        </w:rPr>
        <w:t xml:space="preserve">and Equity </w:t>
      </w:r>
      <w:r w:rsidRPr="00FC0931">
        <w:rPr>
          <w:rFonts w:ascii="Times New Roman" w:hAnsi="Times New Roman" w:cs="Times New Roman"/>
          <w:color w:val="000000"/>
        </w:rPr>
        <w:t xml:space="preserve">must approve all </w:t>
      </w:r>
      <w:r>
        <w:rPr>
          <w:rFonts w:ascii="Times New Roman" w:hAnsi="Times New Roman" w:cs="Times New Roman"/>
          <w:color w:val="000000"/>
        </w:rPr>
        <w:t xml:space="preserve">unbalanced </w:t>
      </w:r>
      <w:r w:rsidRPr="00FC0931">
        <w:rPr>
          <w:rFonts w:ascii="Times New Roman" w:hAnsi="Times New Roman" w:cs="Times New Roman"/>
          <w:color w:val="000000"/>
        </w:rPr>
        <w:t xml:space="preserve">department/program teaching plans before they can be adopted. </w:t>
      </w:r>
    </w:p>
    <w:p w14:paraId="3B9F6E6F" w14:textId="77777777" w:rsidR="00C14EDF" w:rsidRPr="00FC0931" w:rsidRDefault="00C14EDF" w:rsidP="00C14EDF">
      <w:pPr>
        <w:rPr>
          <w:rFonts w:ascii="Times New Roman" w:hAnsi="Times New Roman" w:cs="Times New Roman"/>
        </w:rPr>
      </w:pPr>
    </w:p>
    <w:p w14:paraId="6E5C7F0C" w14:textId="47C1A364" w:rsidR="00C14EDF" w:rsidRDefault="00C14EDF" w:rsidP="00C14EDF">
      <w:pPr>
        <w:widowControl w:val="0"/>
        <w:tabs>
          <w:tab w:val="left" w:pos="940"/>
          <w:tab w:val="left" w:pos="1440"/>
        </w:tabs>
        <w:autoSpaceDE w:val="0"/>
        <w:autoSpaceDN w:val="0"/>
        <w:adjustRightInd w:val="0"/>
        <w:rPr>
          <w:rFonts w:ascii="Times New Roman" w:hAnsi="Times New Roman" w:cs="Times New Roman"/>
          <w:color w:val="000000"/>
        </w:rPr>
      </w:pPr>
      <w:r>
        <w:rPr>
          <w:rFonts w:ascii="Times New Roman" w:hAnsi="Times New Roman" w:cs="Times New Roman"/>
          <w:color w:val="000000"/>
        </w:rPr>
        <w:t>Career-track (NTTF) instructional faculty with a .90 or greater</w:t>
      </w:r>
      <w:r w:rsidR="003A5162">
        <w:rPr>
          <w:rFonts w:ascii="Times New Roman" w:hAnsi="Times New Roman" w:cs="Times New Roman"/>
          <w:color w:val="000000"/>
        </w:rPr>
        <w:t xml:space="preserve"> instructional appointment </w:t>
      </w: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expected to teach during each of the </w:t>
      </w:r>
      <w:r w:rsidR="00F35C8E">
        <w:rPr>
          <w:rFonts w:ascii="Times New Roman" w:hAnsi="Times New Roman" w:cs="Times New Roman"/>
          <w:color w:val="000000"/>
        </w:rPr>
        <w:t>F</w:t>
      </w:r>
      <w:r>
        <w:rPr>
          <w:rFonts w:ascii="Times New Roman" w:hAnsi="Times New Roman" w:cs="Times New Roman"/>
          <w:color w:val="000000"/>
        </w:rPr>
        <w:t xml:space="preserve">all, </w:t>
      </w:r>
      <w:r w:rsidR="00F35C8E">
        <w:rPr>
          <w:rFonts w:ascii="Times New Roman" w:hAnsi="Times New Roman" w:cs="Times New Roman"/>
          <w:color w:val="000000"/>
        </w:rPr>
        <w:t>W</w:t>
      </w:r>
      <w:r>
        <w:rPr>
          <w:rFonts w:ascii="Times New Roman" w:hAnsi="Times New Roman" w:cs="Times New Roman"/>
          <w:color w:val="000000"/>
        </w:rPr>
        <w:t xml:space="preserve">inter, and </w:t>
      </w:r>
      <w:r w:rsidR="00F35C8E">
        <w:rPr>
          <w:rFonts w:ascii="Times New Roman" w:hAnsi="Times New Roman" w:cs="Times New Roman"/>
          <w:color w:val="000000"/>
        </w:rPr>
        <w:t>S</w:t>
      </w:r>
      <w:r>
        <w:rPr>
          <w:rFonts w:ascii="Times New Roman" w:hAnsi="Times New Roman" w:cs="Times New Roman"/>
          <w:color w:val="000000"/>
        </w:rPr>
        <w:t xml:space="preserve">pring terms.  Graduate employees serving in instructional roles are </w:t>
      </w:r>
      <w:r w:rsidR="00DA60C5">
        <w:rPr>
          <w:rFonts w:ascii="Times New Roman" w:hAnsi="Times New Roman" w:cs="Times New Roman"/>
          <w:color w:val="000000"/>
        </w:rPr>
        <w:t xml:space="preserve">also </w:t>
      </w:r>
      <w:r>
        <w:rPr>
          <w:rFonts w:ascii="Times New Roman" w:hAnsi="Times New Roman" w:cs="Times New Roman"/>
          <w:color w:val="000000"/>
        </w:rPr>
        <w:t xml:space="preserve">expected to have work assignments that are balanced across the academic year. </w:t>
      </w:r>
    </w:p>
    <w:p w14:paraId="6D82F0AF" w14:textId="77777777" w:rsidR="00C14EDF" w:rsidRDefault="00C14EDF" w:rsidP="00C14EDF">
      <w:pPr>
        <w:widowControl w:val="0"/>
        <w:tabs>
          <w:tab w:val="left" w:pos="940"/>
          <w:tab w:val="left" w:pos="1440"/>
        </w:tabs>
        <w:autoSpaceDE w:val="0"/>
        <w:autoSpaceDN w:val="0"/>
        <w:adjustRightInd w:val="0"/>
        <w:rPr>
          <w:rFonts w:ascii="Times New Roman" w:hAnsi="Times New Roman" w:cs="Times New Roman"/>
          <w:color w:val="000000"/>
        </w:rPr>
      </w:pPr>
    </w:p>
    <w:p w14:paraId="53585732" w14:textId="658DC841" w:rsidR="00C14EDF" w:rsidRPr="00FC442B" w:rsidRDefault="00187219" w:rsidP="00C14EDF">
      <w:pPr>
        <w:widowControl w:val="0"/>
        <w:tabs>
          <w:tab w:val="left" w:pos="940"/>
          <w:tab w:val="left" w:pos="144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Class Sizes</w:t>
      </w:r>
    </w:p>
    <w:p w14:paraId="069CD01C" w14:textId="7111F66C" w:rsidR="00C14EDF" w:rsidRPr="00FC0931" w:rsidRDefault="00C14EDF" w:rsidP="00C14EDF">
      <w:pPr>
        <w:widowControl w:val="0"/>
        <w:tabs>
          <w:tab w:val="left" w:pos="220"/>
          <w:tab w:val="left" w:pos="720"/>
        </w:tabs>
        <w:autoSpaceDE w:val="0"/>
        <w:autoSpaceDN w:val="0"/>
        <w:adjustRightInd w:val="0"/>
        <w:rPr>
          <w:rFonts w:ascii="Times New Roman" w:hAnsi="Times New Roman" w:cs="Times New Roman"/>
          <w:color w:val="000000"/>
        </w:rPr>
      </w:pPr>
    </w:p>
    <w:p w14:paraId="1EA893D0" w14:textId="4CFA6C56" w:rsidR="00E07523" w:rsidRDefault="00C14EDF" w:rsidP="00C14EDF">
      <w:pPr>
        <w:widowControl w:val="0"/>
        <w:tabs>
          <w:tab w:val="left" w:pos="220"/>
          <w:tab w:val="left" w:pos="720"/>
        </w:tabs>
        <w:autoSpaceDE w:val="0"/>
        <w:autoSpaceDN w:val="0"/>
        <w:adjustRightInd w:val="0"/>
        <w:rPr>
          <w:rFonts w:ascii="Times New Roman" w:hAnsi="Times New Roman" w:cs="Times New Roman"/>
          <w:color w:val="000000"/>
        </w:rPr>
      </w:pPr>
      <w:r w:rsidRPr="00FC0931">
        <w:rPr>
          <w:rFonts w:ascii="Times New Roman" w:hAnsi="Times New Roman" w:cs="Times New Roman"/>
          <w:color w:val="000000"/>
        </w:rPr>
        <w:t>Min</w:t>
      </w:r>
      <w:r w:rsidR="00770952">
        <w:rPr>
          <w:rFonts w:ascii="Times New Roman" w:hAnsi="Times New Roman" w:cs="Times New Roman"/>
          <w:color w:val="000000"/>
        </w:rPr>
        <w:t>imum class enrollments</w:t>
      </w:r>
      <w:r w:rsidR="00465ED4">
        <w:rPr>
          <w:rFonts w:ascii="Times New Roman" w:hAnsi="Times New Roman" w:cs="Times New Roman"/>
          <w:color w:val="000000"/>
        </w:rPr>
        <w:t xml:space="preserve"> for 2017-2018</w:t>
      </w:r>
      <w:r w:rsidR="00770952">
        <w:rPr>
          <w:rFonts w:ascii="Times New Roman" w:hAnsi="Times New Roman" w:cs="Times New Roman"/>
          <w:color w:val="000000"/>
        </w:rPr>
        <w:t xml:space="preserve"> are 12</w:t>
      </w:r>
      <w:r w:rsidRPr="00FC0931">
        <w:rPr>
          <w:rFonts w:ascii="Times New Roman" w:hAnsi="Times New Roman" w:cs="Times New Roman"/>
          <w:color w:val="000000"/>
        </w:rPr>
        <w:t xml:space="preserve"> students in undergraduate courses and </w:t>
      </w:r>
      <w:r w:rsidRPr="00FC0931">
        <w:rPr>
          <w:rFonts w:ascii="Times New Roman" w:hAnsi="Times New Roman" w:cs="Times New Roman"/>
          <w:color w:val="000000"/>
        </w:rPr>
        <w:lastRenderedPageBreak/>
        <w:t xml:space="preserve">6 students in graduate courses. </w:t>
      </w:r>
      <w:r>
        <w:rPr>
          <w:rFonts w:ascii="Times New Roman" w:hAnsi="Times New Roman" w:cs="Times New Roman"/>
          <w:color w:val="000000"/>
        </w:rPr>
        <w:t xml:space="preserve"> These minima do not apply to </w:t>
      </w:r>
      <w:r w:rsidR="00B706B9">
        <w:rPr>
          <w:rFonts w:ascii="Times New Roman" w:hAnsi="Times New Roman" w:cs="Times New Roman"/>
          <w:color w:val="000000"/>
        </w:rPr>
        <w:t>independent study classes</w:t>
      </w:r>
      <w:r>
        <w:rPr>
          <w:rFonts w:ascii="Times New Roman" w:hAnsi="Times New Roman" w:cs="Times New Roman"/>
          <w:color w:val="000000"/>
        </w:rPr>
        <w:t xml:space="preserve">.  </w:t>
      </w:r>
      <w:r w:rsidR="00B706B9">
        <w:rPr>
          <w:rFonts w:ascii="Times New Roman" w:hAnsi="Times New Roman" w:cs="Times New Roman"/>
          <w:color w:val="000000"/>
        </w:rPr>
        <w:t>Reassignment of faculty workload due to c</w:t>
      </w:r>
      <w:r>
        <w:rPr>
          <w:rFonts w:ascii="Times New Roman" w:hAnsi="Times New Roman" w:cs="Times New Roman"/>
          <w:color w:val="000000"/>
        </w:rPr>
        <w:t xml:space="preserve">ancellation of </w:t>
      </w:r>
      <w:r w:rsidR="00B706B9">
        <w:rPr>
          <w:rFonts w:ascii="Times New Roman" w:hAnsi="Times New Roman" w:cs="Times New Roman"/>
          <w:color w:val="000000"/>
        </w:rPr>
        <w:t xml:space="preserve">low enrollment </w:t>
      </w:r>
      <w:r>
        <w:rPr>
          <w:rFonts w:ascii="Times New Roman" w:hAnsi="Times New Roman" w:cs="Times New Roman"/>
          <w:color w:val="000000"/>
        </w:rPr>
        <w:t>classes is addressed in the faculty workload policies.</w:t>
      </w:r>
    </w:p>
    <w:p w14:paraId="21DE7A85" w14:textId="77777777" w:rsidR="007F7493" w:rsidRDefault="007F7493" w:rsidP="00C14EDF">
      <w:pPr>
        <w:widowControl w:val="0"/>
        <w:tabs>
          <w:tab w:val="left" w:pos="220"/>
          <w:tab w:val="left" w:pos="720"/>
        </w:tabs>
        <w:autoSpaceDE w:val="0"/>
        <w:autoSpaceDN w:val="0"/>
        <w:adjustRightInd w:val="0"/>
        <w:rPr>
          <w:rFonts w:ascii="Times New Roman" w:hAnsi="Times New Roman" w:cs="Times New Roman"/>
          <w:color w:val="000000"/>
        </w:rPr>
      </w:pPr>
    </w:p>
    <w:p w14:paraId="1CE3020E" w14:textId="5E73829F" w:rsidR="00F95219" w:rsidRDefault="00F95219" w:rsidP="00C14EDF">
      <w:pPr>
        <w:widowControl w:val="0"/>
        <w:tabs>
          <w:tab w:val="left" w:pos="220"/>
          <w:tab w:val="left" w:pos="720"/>
        </w:tabs>
        <w:autoSpaceDE w:val="0"/>
        <w:autoSpaceDN w:val="0"/>
        <w:adjustRightInd w:val="0"/>
        <w:rPr>
          <w:rFonts w:ascii="Times New Roman" w:hAnsi="Times New Roman" w:cs="Times New Roman"/>
          <w:color w:val="000000"/>
        </w:rPr>
      </w:pPr>
      <w:r w:rsidRPr="00F95219">
        <w:rPr>
          <w:rFonts w:ascii="Times New Roman" w:hAnsi="Times New Roman" w:cs="Times New Roman"/>
          <w:color w:val="000000"/>
        </w:rPr>
        <w:t xml:space="preserve">Large classes </w:t>
      </w:r>
      <w:r w:rsidR="00AC6F17">
        <w:rPr>
          <w:rFonts w:ascii="Times New Roman" w:hAnsi="Times New Roman" w:cs="Times New Roman"/>
          <w:color w:val="000000"/>
        </w:rPr>
        <w:t>(</w:t>
      </w:r>
      <w:r w:rsidRPr="00F95219">
        <w:rPr>
          <w:rFonts w:ascii="Times New Roman" w:hAnsi="Times New Roman" w:cs="Times New Roman"/>
          <w:color w:val="000000"/>
        </w:rPr>
        <w:t>greater than 50 students</w:t>
      </w:r>
      <w:r w:rsidR="00AC6F17">
        <w:rPr>
          <w:rFonts w:ascii="Times New Roman" w:hAnsi="Times New Roman" w:cs="Times New Roman"/>
          <w:color w:val="000000"/>
        </w:rPr>
        <w:t>)</w:t>
      </w:r>
      <w:r w:rsidRPr="00F95219">
        <w:rPr>
          <w:rFonts w:ascii="Times New Roman" w:hAnsi="Times New Roman" w:cs="Times New Roman"/>
          <w:color w:val="000000"/>
        </w:rPr>
        <w:t xml:space="preserve"> should receive priority </w:t>
      </w:r>
      <w:r w:rsidR="00AC6F17">
        <w:rPr>
          <w:rFonts w:ascii="Times New Roman" w:hAnsi="Times New Roman" w:cs="Times New Roman"/>
          <w:color w:val="000000"/>
        </w:rPr>
        <w:t>when assigning</w:t>
      </w:r>
      <w:r w:rsidRPr="00F95219">
        <w:rPr>
          <w:rFonts w:ascii="Times New Roman" w:hAnsi="Times New Roman" w:cs="Times New Roman"/>
          <w:color w:val="000000"/>
        </w:rPr>
        <w:t xml:space="preserve"> graduate employees to support faculty instruction.</w:t>
      </w:r>
    </w:p>
    <w:p w14:paraId="63612E20" w14:textId="77777777" w:rsidR="002A0010" w:rsidRDefault="002A0010" w:rsidP="00C14EDF">
      <w:pPr>
        <w:widowControl w:val="0"/>
        <w:tabs>
          <w:tab w:val="left" w:pos="220"/>
          <w:tab w:val="left" w:pos="720"/>
        </w:tabs>
        <w:autoSpaceDE w:val="0"/>
        <w:autoSpaceDN w:val="0"/>
        <w:adjustRightInd w:val="0"/>
        <w:rPr>
          <w:rFonts w:ascii="Times New Roman" w:hAnsi="Times New Roman" w:cs="Times New Roman"/>
          <w:color w:val="000000"/>
        </w:rPr>
      </w:pPr>
    </w:p>
    <w:p w14:paraId="0B3962B1" w14:textId="77777777" w:rsidR="002A0010" w:rsidRDefault="002A0010" w:rsidP="00C14EDF">
      <w:pPr>
        <w:widowControl w:val="0"/>
        <w:tabs>
          <w:tab w:val="left" w:pos="220"/>
          <w:tab w:val="left" w:pos="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Priorities for Teaching Assignments</w:t>
      </w:r>
    </w:p>
    <w:p w14:paraId="04B2F2EF" w14:textId="77777777" w:rsidR="00737727" w:rsidRDefault="00737727" w:rsidP="00C14EDF">
      <w:pPr>
        <w:widowControl w:val="0"/>
        <w:tabs>
          <w:tab w:val="left" w:pos="220"/>
          <w:tab w:val="left" w:pos="720"/>
        </w:tabs>
        <w:autoSpaceDE w:val="0"/>
        <w:autoSpaceDN w:val="0"/>
        <w:adjustRightInd w:val="0"/>
        <w:rPr>
          <w:rFonts w:ascii="Times New Roman" w:hAnsi="Times New Roman" w:cs="Times New Roman"/>
          <w:color w:val="000000"/>
        </w:rPr>
      </w:pPr>
    </w:p>
    <w:p w14:paraId="6D75F3F2" w14:textId="1066F10C" w:rsidR="00987BF7" w:rsidRDefault="00737727" w:rsidP="00C14EDF">
      <w:pPr>
        <w:widowControl w:val="0"/>
        <w:tabs>
          <w:tab w:val="left" w:pos="220"/>
          <w:tab w:val="left" w:pos="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All </w:t>
      </w:r>
      <w:r w:rsidR="00770952">
        <w:rPr>
          <w:rFonts w:ascii="Times New Roman" w:hAnsi="Times New Roman" w:cs="Times New Roman"/>
          <w:color w:val="000000"/>
        </w:rPr>
        <w:t xml:space="preserve">other </w:t>
      </w:r>
      <w:r>
        <w:rPr>
          <w:rFonts w:ascii="Times New Roman" w:hAnsi="Times New Roman" w:cs="Times New Roman"/>
          <w:color w:val="000000"/>
        </w:rPr>
        <w:t>considerations being equal</w:t>
      </w:r>
      <w:r w:rsidR="00AC6F17">
        <w:rPr>
          <w:rFonts w:ascii="Times New Roman" w:hAnsi="Times New Roman" w:cs="Times New Roman"/>
          <w:color w:val="000000"/>
        </w:rPr>
        <w:t>:</w:t>
      </w:r>
      <w:r>
        <w:rPr>
          <w:rFonts w:ascii="Times New Roman" w:hAnsi="Times New Roman" w:cs="Times New Roman"/>
          <w:color w:val="000000"/>
        </w:rPr>
        <w:t xml:space="preserve"> </w:t>
      </w:r>
    </w:p>
    <w:p w14:paraId="19F32799" w14:textId="4D1AF9A0" w:rsidR="00C14EDF" w:rsidRPr="006F66E7" w:rsidRDefault="00C14EDF" w:rsidP="00C14EDF">
      <w:pPr>
        <w:widowControl w:val="0"/>
        <w:tabs>
          <w:tab w:val="left" w:pos="220"/>
          <w:tab w:val="left" w:pos="720"/>
        </w:tabs>
        <w:autoSpaceDE w:val="0"/>
        <w:autoSpaceDN w:val="0"/>
        <w:adjustRightInd w:val="0"/>
        <w:rPr>
          <w:rFonts w:ascii="Times New Roman" w:hAnsi="Times New Roman" w:cs="Times New Roman"/>
          <w:color w:val="000000"/>
        </w:rPr>
      </w:pPr>
    </w:p>
    <w:p w14:paraId="4C0929A2" w14:textId="2399E30D" w:rsidR="007B119A" w:rsidRPr="00F41DDF" w:rsidRDefault="00987BF7" w:rsidP="00F41DDF">
      <w:pPr>
        <w:pStyle w:val="ListParagraph"/>
        <w:widowControl w:val="0"/>
        <w:numPr>
          <w:ilvl w:val="0"/>
          <w:numId w:val="3"/>
        </w:numPr>
        <w:tabs>
          <w:tab w:val="left" w:pos="220"/>
          <w:tab w:val="left" w:pos="720"/>
        </w:tabs>
        <w:autoSpaceDE w:val="0"/>
        <w:autoSpaceDN w:val="0"/>
        <w:adjustRightInd w:val="0"/>
        <w:rPr>
          <w:rFonts w:ascii="Times New Roman" w:hAnsi="Times New Roman" w:cs="Times New Roman"/>
          <w:color w:val="000000"/>
        </w:rPr>
      </w:pPr>
      <w:r>
        <w:rPr>
          <w:rFonts w:ascii="Times New Roman" w:hAnsi="Times New Roman" w:cs="Times New Roman"/>
          <w:color w:val="000000"/>
        </w:rPr>
        <w:t>A</w:t>
      </w:r>
      <w:r w:rsidR="00C14EDF" w:rsidRPr="00F41DDF">
        <w:rPr>
          <w:rFonts w:ascii="Times New Roman" w:hAnsi="Times New Roman" w:cs="Times New Roman"/>
          <w:color w:val="000000"/>
        </w:rPr>
        <w:t xml:space="preserve"> faculty member who has taught a class previously because of having relevant</w:t>
      </w:r>
      <w:r w:rsidR="00770952">
        <w:rPr>
          <w:rFonts w:ascii="Times New Roman" w:hAnsi="Times New Roman" w:cs="Times New Roman"/>
          <w:color w:val="000000"/>
        </w:rPr>
        <w:t xml:space="preserve"> research</w:t>
      </w:r>
      <w:r w:rsidR="00C14EDF" w:rsidRPr="00F41DDF">
        <w:rPr>
          <w:rFonts w:ascii="Times New Roman" w:hAnsi="Times New Roman" w:cs="Times New Roman"/>
          <w:color w:val="000000"/>
        </w:rPr>
        <w:t xml:space="preserve"> expertise should have priority for that course assignment in the future.  </w:t>
      </w:r>
    </w:p>
    <w:p w14:paraId="58A170BF" w14:textId="77777777" w:rsidR="007B119A" w:rsidRDefault="007B119A" w:rsidP="00C14EDF">
      <w:pPr>
        <w:widowControl w:val="0"/>
        <w:tabs>
          <w:tab w:val="left" w:pos="220"/>
          <w:tab w:val="left" w:pos="720"/>
        </w:tabs>
        <w:autoSpaceDE w:val="0"/>
        <w:autoSpaceDN w:val="0"/>
        <w:adjustRightInd w:val="0"/>
        <w:rPr>
          <w:rFonts w:ascii="Times New Roman" w:hAnsi="Times New Roman" w:cs="Times New Roman"/>
          <w:color w:val="000000"/>
        </w:rPr>
      </w:pPr>
    </w:p>
    <w:p w14:paraId="425097CB" w14:textId="583A0052" w:rsidR="00F41DDF" w:rsidRPr="006D7AA5" w:rsidRDefault="00C14EDF" w:rsidP="006D7AA5">
      <w:pPr>
        <w:pStyle w:val="ListParagraph"/>
        <w:widowControl w:val="0"/>
        <w:numPr>
          <w:ilvl w:val="0"/>
          <w:numId w:val="3"/>
        </w:numPr>
        <w:tabs>
          <w:tab w:val="left" w:pos="220"/>
          <w:tab w:val="left" w:pos="720"/>
        </w:tabs>
        <w:autoSpaceDE w:val="0"/>
        <w:autoSpaceDN w:val="0"/>
        <w:adjustRightInd w:val="0"/>
        <w:rPr>
          <w:rFonts w:ascii="Times New Roman" w:hAnsi="Times New Roman" w:cs="Times New Roman"/>
          <w:color w:val="000000"/>
        </w:rPr>
      </w:pPr>
      <w:r w:rsidRPr="00F41DDF">
        <w:rPr>
          <w:rFonts w:ascii="Times New Roman" w:hAnsi="Times New Roman" w:cs="Times New Roman"/>
          <w:color w:val="000000"/>
        </w:rPr>
        <w:t xml:space="preserve">Assignments of teaching across faculty members should reflect a similar balance of </w:t>
      </w:r>
      <w:r w:rsidR="005814A8">
        <w:rPr>
          <w:rFonts w:ascii="Times New Roman" w:hAnsi="Times New Roman" w:cs="Times New Roman"/>
          <w:color w:val="000000"/>
        </w:rPr>
        <w:t xml:space="preserve">new course preparations (e.g., </w:t>
      </w:r>
      <w:r w:rsidR="00AC6F17">
        <w:rPr>
          <w:rFonts w:ascii="Times New Roman" w:hAnsi="Times New Roman" w:cs="Times New Roman"/>
          <w:color w:val="000000"/>
        </w:rPr>
        <w:t>i</w:t>
      </w:r>
      <w:r w:rsidRPr="00F41DDF">
        <w:rPr>
          <w:rFonts w:ascii="Times New Roman" w:hAnsi="Times New Roman" w:cs="Times New Roman"/>
          <w:color w:val="000000"/>
        </w:rPr>
        <w:t>f the majority of faculty in a department do not have a new course preparation it would be unfair to burden a single faculty member with three new course preparations)</w:t>
      </w:r>
      <w:r w:rsidR="00AC6F17">
        <w:rPr>
          <w:rFonts w:ascii="Times New Roman" w:hAnsi="Times New Roman" w:cs="Times New Roman"/>
          <w:color w:val="000000"/>
        </w:rPr>
        <w:t>.</w:t>
      </w:r>
    </w:p>
    <w:p w14:paraId="3AFDC403" w14:textId="1444F266" w:rsidR="00F41DDF" w:rsidRPr="00F41DDF" w:rsidRDefault="00F41DDF" w:rsidP="006D7AA5">
      <w:pPr>
        <w:rPr>
          <w:color w:val="000000"/>
        </w:rPr>
      </w:pPr>
    </w:p>
    <w:p w14:paraId="5902F40E" w14:textId="73F23993" w:rsidR="00F41DDF" w:rsidRPr="006D7AA5" w:rsidRDefault="00F41DDF" w:rsidP="004004BA">
      <w:pPr>
        <w:pStyle w:val="ListParagraph"/>
        <w:widowControl w:val="0"/>
        <w:numPr>
          <w:ilvl w:val="0"/>
          <w:numId w:val="3"/>
        </w:numPr>
        <w:tabs>
          <w:tab w:val="left" w:pos="220"/>
          <w:tab w:val="left" w:pos="720"/>
        </w:tabs>
        <w:autoSpaceDE w:val="0"/>
        <w:autoSpaceDN w:val="0"/>
        <w:adjustRightInd w:val="0"/>
        <w:rPr>
          <w:rFonts w:ascii="Times New Roman" w:hAnsi="Times New Roman" w:cs="Times New Roman"/>
          <w:color w:val="000000"/>
        </w:rPr>
      </w:pPr>
      <w:r w:rsidRPr="006D7AA5">
        <w:rPr>
          <w:rFonts w:ascii="Times New Roman" w:hAnsi="Times New Roman" w:cs="Times New Roman"/>
          <w:color w:val="000000"/>
        </w:rPr>
        <w:t xml:space="preserve">Attention to consistency and equity </w:t>
      </w:r>
      <w:r w:rsidR="004004BA">
        <w:rPr>
          <w:rFonts w:ascii="Times New Roman" w:hAnsi="Times New Roman" w:cs="Times New Roman"/>
          <w:color w:val="000000"/>
        </w:rPr>
        <w:t xml:space="preserve">of </w:t>
      </w:r>
      <w:r w:rsidR="00C63F9B">
        <w:rPr>
          <w:rFonts w:ascii="Times New Roman" w:hAnsi="Times New Roman" w:cs="Times New Roman"/>
          <w:color w:val="000000"/>
        </w:rPr>
        <w:t xml:space="preserve">faculty </w:t>
      </w:r>
      <w:r w:rsidR="004004BA">
        <w:rPr>
          <w:rFonts w:ascii="Times New Roman" w:hAnsi="Times New Roman" w:cs="Times New Roman"/>
          <w:color w:val="000000"/>
        </w:rPr>
        <w:t xml:space="preserve">assignments </w:t>
      </w:r>
      <w:r w:rsidR="00C63F9B">
        <w:rPr>
          <w:rFonts w:ascii="Times New Roman" w:hAnsi="Times New Roman" w:cs="Times New Roman"/>
          <w:color w:val="000000"/>
        </w:rPr>
        <w:t>should be maintained</w:t>
      </w:r>
      <w:r w:rsidRPr="006D7AA5">
        <w:rPr>
          <w:rFonts w:ascii="Times New Roman" w:hAnsi="Times New Roman" w:cs="Times New Roman"/>
          <w:color w:val="000000"/>
        </w:rPr>
        <w:t xml:space="preserve"> in terms of the type </w:t>
      </w:r>
      <w:r w:rsidR="0020031E" w:rsidRPr="006D7AA5">
        <w:rPr>
          <w:rFonts w:ascii="Times New Roman" w:hAnsi="Times New Roman" w:cs="Times New Roman"/>
          <w:color w:val="000000"/>
        </w:rPr>
        <w:t xml:space="preserve">of class </w:t>
      </w:r>
      <w:r w:rsidR="00C74C1A">
        <w:rPr>
          <w:rFonts w:ascii="Times New Roman" w:hAnsi="Times New Roman" w:cs="Times New Roman"/>
          <w:color w:val="000000"/>
        </w:rPr>
        <w:t>(</w:t>
      </w:r>
      <w:r w:rsidR="0056799E">
        <w:rPr>
          <w:rFonts w:ascii="Times New Roman" w:hAnsi="Times New Roman" w:cs="Times New Roman"/>
          <w:color w:val="000000"/>
        </w:rPr>
        <w:t xml:space="preserve">e.g., </w:t>
      </w:r>
      <w:r w:rsidR="00C74C1A">
        <w:rPr>
          <w:rFonts w:ascii="Times New Roman" w:hAnsi="Times New Roman" w:cs="Times New Roman"/>
          <w:color w:val="000000"/>
        </w:rPr>
        <w:t xml:space="preserve">practicum/supervision versus </w:t>
      </w:r>
      <w:r w:rsidR="0056799E">
        <w:rPr>
          <w:rFonts w:ascii="Times New Roman" w:hAnsi="Times New Roman" w:cs="Times New Roman"/>
          <w:color w:val="000000"/>
        </w:rPr>
        <w:t xml:space="preserve">regular format classes) </w:t>
      </w:r>
      <w:r w:rsidRPr="006D7AA5">
        <w:rPr>
          <w:rFonts w:ascii="Times New Roman" w:hAnsi="Times New Roman" w:cs="Times New Roman"/>
          <w:color w:val="000000"/>
        </w:rPr>
        <w:t xml:space="preserve">and </w:t>
      </w:r>
      <w:r w:rsidR="0020031E" w:rsidRPr="006D7AA5">
        <w:rPr>
          <w:rFonts w:ascii="Times New Roman" w:hAnsi="Times New Roman" w:cs="Times New Roman"/>
          <w:color w:val="000000"/>
        </w:rPr>
        <w:t xml:space="preserve">student </w:t>
      </w:r>
      <w:r w:rsidR="00C63F9B">
        <w:rPr>
          <w:rFonts w:ascii="Times New Roman" w:hAnsi="Times New Roman" w:cs="Times New Roman"/>
          <w:color w:val="000000"/>
        </w:rPr>
        <w:t>enrollment in</w:t>
      </w:r>
      <w:r w:rsidRPr="006D7AA5">
        <w:rPr>
          <w:rFonts w:ascii="Times New Roman" w:hAnsi="Times New Roman" w:cs="Times New Roman"/>
          <w:color w:val="000000"/>
        </w:rPr>
        <w:t xml:space="preserve"> classes.</w:t>
      </w:r>
    </w:p>
    <w:p w14:paraId="5F3855FD" w14:textId="77777777" w:rsidR="00F41DDF" w:rsidRPr="00F41DDF" w:rsidRDefault="00F41DDF" w:rsidP="00F41DDF">
      <w:pPr>
        <w:pStyle w:val="ListParagraph"/>
        <w:rPr>
          <w:rFonts w:ascii="Times New Roman" w:hAnsi="Times New Roman" w:cs="Times New Roman"/>
          <w:color w:val="000000"/>
        </w:rPr>
      </w:pPr>
    </w:p>
    <w:p w14:paraId="607D730C" w14:textId="323B81AC" w:rsidR="00C14EDF" w:rsidRPr="00F41DDF" w:rsidRDefault="00F41DDF" w:rsidP="00F41DDF">
      <w:pPr>
        <w:pStyle w:val="ListParagraph"/>
        <w:widowControl w:val="0"/>
        <w:numPr>
          <w:ilvl w:val="0"/>
          <w:numId w:val="3"/>
        </w:numPr>
        <w:tabs>
          <w:tab w:val="left" w:pos="220"/>
          <w:tab w:val="left" w:pos="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Coursework should align with </w:t>
      </w:r>
      <w:r w:rsidR="00C14EDF" w:rsidRPr="00F41DDF">
        <w:rPr>
          <w:rFonts w:ascii="Times New Roman" w:hAnsi="Times New Roman" w:cs="Times New Roman"/>
          <w:color w:val="000000"/>
        </w:rPr>
        <w:t xml:space="preserve">faculty </w:t>
      </w:r>
      <w:r>
        <w:rPr>
          <w:rFonts w:ascii="Times New Roman" w:hAnsi="Times New Roman" w:cs="Times New Roman"/>
          <w:color w:val="000000"/>
        </w:rPr>
        <w:t>teaching</w:t>
      </w:r>
      <w:r w:rsidR="003F1B14">
        <w:rPr>
          <w:rFonts w:ascii="Times New Roman" w:hAnsi="Times New Roman" w:cs="Times New Roman"/>
          <w:color w:val="000000"/>
        </w:rPr>
        <w:t xml:space="preserve"> and research</w:t>
      </w:r>
      <w:r>
        <w:rPr>
          <w:rFonts w:ascii="Times New Roman" w:hAnsi="Times New Roman" w:cs="Times New Roman"/>
          <w:color w:val="000000"/>
        </w:rPr>
        <w:t xml:space="preserve"> </w:t>
      </w:r>
      <w:r w:rsidR="00C14EDF" w:rsidRPr="00F41DDF">
        <w:rPr>
          <w:rFonts w:ascii="Times New Roman" w:hAnsi="Times New Roman" w:cs="Times New Roman"/>
          <w:color w:val="000000"/>
        </w:rPr>
        <w:t>expertise</w:t>
      </w:r>
      <w:r w:rsidR="00E914C7">
        <w:rPr>
          <w:rFonts w:ascii="Times New Roman" w:hAnsi="Times New Roman" w:cs="Times New Roman"/>
          <w:color w:val="000000"/>
        </w:rPr>
        <w:t xml:space="preserve"> as documented in the</w:t>
      </w:r>
      <w:r w:rsidR="001808CA">
        <w:rPr>
          <w:rFonts w:ascii="Times New Roman" w:hAnsi="Times New Roman" w:cs="Times New Roman"/>
          <w:color w:val="000000"/>
        </w:rPr>
        <w:t>ir</w:t>
      </w:r>
      <w:r w:rsidR="00E914C7">
        <w:rPr>
          <w:rFonts w:ascii="Times New Roman" w:hAnsi="Times New Roman" w:cs="Times New Roman"/>
          <w:color w:val="000000"/>
        </w:rPr>
        <w:t xml:space="preserve"> CV</w:t>
      </w:r>
      <w:r w:rsidR="00482FC2">
        <w:rPr>
          <w:rFonts w:ascii="Times New Roman" w:hAnsi="Times New Roman" w:cs="Times New Roman"/>
          <w:color w:val="000000"/>
        </w:rPr>
        <w:t xml:space="preserve">, </w:t>
      </w:r>
      <w:r w:rsidR="00C63F9B">
        <w:rPr>
          <w:rFonts w:ascii="Times New Roman" w:hAnsi="Times New Roman" w:cs="Times New Roman"/>
          <w:color w:val="000000"/>
        </w:rPr>
        <w:t xml:space="preserve">a copy of </w:t>
      </w:r>
      <w:r w:rsidR="00482FC2">
        <w:rPr>
          <w:rFonts w:ascii="Times New Roman" w:hAnsi="Times New Roman" w:cs="Times New Roman"/>
          <w:color w:val="000000"/>
        </w:rPr>
        <w:t xml:space="preserve">which is kept on file in </w:t>
      </w:r>
      <w:r w:rsidR="007D45C3">
        <w:rPr>
          <w:rFonts w:ascii="Times New Roman" w:hAnsi="Times New Roman" w:cs="Times New Roman"/>
          <w:color w:val="000000"/>
        </w:rPr>
        <w:t>COE Faculty S</w:t>
      </w:r>
      <w:r w:rsidR="002D4B39">
        <w:rPr>
          <w:rFonts w:ascii="Times New Roman" w:hAnsi="Times New Roman" w:cs="Times New Roman"/>
          <w:color w:val="000000"/>
        </w:rPr>
        <w:t>ervices</w:t>
      </w:r>
      <w:r w:rsidR="00C14EDF" w:rsidRPr="00F41DDF">
        <w:rPr>
          <w:rFonts w:ascii="Times New Roman" w:hAnsi="Times New Roman" w:cs="Times New Roman"/>
          <w:color w:val="000000"/>
        </w:rPr>
        <w:t xml:space="preserve">. </w:t>
      </w:r>
    </w:p>
    <w:p w14:paraId="5E958619" w14:textId="2D3AEA1F" w:rsidR="002629BD" w:rsidRPr="00F41DDF" w:rsidRDefault="002629BD" w:rsidP="00F41DDF">
      <w:pPr>
        <w:pStyle w:val="ListParagraph"/>
        <w:widowControl w:val="0"/>
        <w:tabs>
          <w:tab w:val="left" w:pos="220"/>
          <w:tab w:val="left" w:pos="720"/>
        </w:tabs>
        <w:autoSpaceDE w:val="0"/>
        <w:autoSpaceDN w:val="0"/>
        <w:adjustRightInd w:val="0"/>
        <w:rPr>
          <w:rFonts w:ascii="Times New Roman" w:hAnsi="Times New Roman" w:cs="Times New Roman"/>
          <w:color w:val="000000"/>
        </w:rPr>
      </w:pPr>
    </w:p>
    <w:p w14:paraId="14A9E3BB" w14:textId="3618AB2C" w:rsidR="00DF4AE6" w:rsidRDefault="00DF4AE6" w:rsidP="00152AAF">
      <w:pPr>
        <w:widowControl w:val="0"/>
        <w:tabs>
          <w:tab w:val="left" w:pos="220"/>
          <w:tab w:val="left" w:pos="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Bal</w:t>
      </w:r>
      <w:r w:rsidR="00C04EBA">
        <w:rPr>
          <w:rFonts w:ascii="Times New Roman" w:hAnsi="Times New Roman" w:cs="Times New Roman"/>
          <w:b/>
          <w:color w:val="000000"/>
        </w:rPr>
        <w:t xml:space="preserve">ancing </w:t>
      </w:r>
      <w:r w:rsidR="00101E48">
        <w:rPr>
          <w:rFonts w:ascii="Times New Roman" w:hAnsi="Times New Roman" w:cs="Times New Roman"/>
          <w:b/>
          <w:color w:val="000000"/>
        </w:rPr>
        <w:t xml:space="preserve">Faculty </w:t>
      </w:r>
      <w:r w:rsidR="00712B30">
        <w:rPr>
          <w:rFonts w:ascii="Times New Roman" w:hAnsi="Times New Roman" w:cs="Times New Roman"/>
          <w:b/>
          <w:color w:val="000000"/>
        </w:rPr>
        <w:t>Teaching</w:t>
      </w:r>
      <w:r w:rsidR="00ED52E8">
        <w:rPr>
          <w:rFonts w:ascii="Times New Roman" w:hAnsi="Times New Roman" w:cs="Times New Roman"/>
          <w:b/>
          <w:color w:val="000000"/>
        </w:rPr>
        <w:t xml:space="preserve"> </w:t>
      </w:r>
      <w:r w:rsidR="00712B30">
        <w:rPr>
          <w:rFonts w:ascii="Times New Roman" w:hAnsi="Times New Roman" w:cs="Times New Roman"/>
          <w:b/>
          <w:color w:val="000000"/>
        </w:rPr>
        <w:t>and Service</w:t>
      </w:r>
    </w:p>
    <w:p w14:paraId="54922F5C" w14:textId="77777777" w:rsidR="00DF4AE6" w:rsidRDefault="00DF4AE6" w:rsidP="00152AAF">
      <w:pPr>
        <w:widowControl w:val="0"/>
        <w:tabs>
          <w:tab w:val="left" w:pos="220"/>
          <w:tab w:val="left" w:pos="720"/>
        </w:tabs>
        <w:autoSpaceDE w:val="0"/>
        <w:autoSpaceDN w:val="0"/>
        <w:adjustRightInd w:val="0"/>
        <w:rPr>
          <w:rFonts w:ascii="Times New Roman" w:hAnsi="Times New Roman" w:cs="Times New Roman"/>
          <w:b/>
          <w:color w:val="000000"/>
        </w:rPr>
      </w:pPr>
    </w:p>
    <w:p w14:paraId="2F6305F5" w14:textId="5B35CD3C" w:rsidR="00C31F78" w:rsidRDefault="00896187" w:rsidP="003A1287">
      <w:pPr>
        <w:widowControl w:val="0"/>
        <w:tabs>
          <w:tab w:val="left" w:pos="220"/>
          <w:tab w:val="left" w:pos="720"/>
        </w:tabs>
        <w:autoSpaceDE w:val="0"/>
        <w:autoSpaceDN w:val="0"/>
        <w:adjustRightInd w:val="0"/>
        <w:rPr>
          <w:rFonts w:ascii="Times New Roman" w:hAnsi="Times New Roman" w:cs="Times New Roman"/>
          <w:color w:val="000000"/>
        </w:rPr>
      </w:pPr>
      <w:r>
        <w:rPr>
          <w:rFonts w:ascii="Times New Roman" w:hAnsi="Times New Roman" w:cs="Times New Roman"/>
          <w:color w:val="000000"/>
        </w:rPr>
        <w:t>F</w:t>
      </w:r>
      <w:r w:rsidR="00DF4AE6">
        <w:rPr>
          <w:rFonts w:ascii="Times New Roman" w:hAnsi="Times New Roman" w:cs="Times New Roman"/>
          <w:color w:val="000000"/>
        </w:rPr>
        <w:t xml:space="preserve">aculty are encouraged to work collaboratively with their colleagues and </w:t>
      </w:r>
      <w:r w:rsidR="00331283">
        <w:rPr>
          <w:rFonts w:ascii="Times New Roman" w:hAnsi="Times New Roman" w:cs="Times New Roman"/>
          <w:color w:val="000000"/>
        </w:rPr>
        <w:t>D</w:t>
      </w:r>
      <w:r w:rsidR="00DF4AE6">
        <w:rPr>
          <w:rFonts w:ascii="Times New Roman" w:hAnsi="Times New Roman" w:cs="Times New Roman"/>
          <w:color w:val="000000"/>
        </w:rPr>
        <w:t xml:space="preserve">epartment </w:t>
      </w:r>
      <w:r w:rsidR="00331283">
        <w:rPr>
          <w:rFonts w:ascii="Times New Roman" w:hAnsi="Times New Roman" w:cs="Times New Roman"/>
          <w:color w:val="000000"/>
        </w:rPr>
        <w:t>H</w:t>
      </w:r>
      <w:r w:rsidR="00DF4AE6">
        <w:rPr>
          <w:rFonts w:ascii="Times New Roman" w:hAnsi="Times New Roman" w:cs="Times New Roman"/>
          <w:color w:val="000000"/>
        </w:rPr>
        <w:t xml:space="preserve">eads to create effective and equitable </w:t>
      </w:r>
      <w:r w:rsidR="00612638">
        <w:rPr>
          <w:rFonts w:ascii="Times New Roman" w:hAnsi="Times New Roman" w:cs="Times New Roman"/>
          <w:color w:val="000000"/>
        </w:rPr>
        <w:t>teaching</w:t>
      </w:r>
      <w:r w:rsidR="0033330A">
        <w:rPr>
          <w:rFonts w:ascii="Times New Roman" w:hAnsi="Times New Roman" w:cs="Times New Roman"/>
          <w:color w:val="000000"/>
        </w:rPr>
        <w:t xml:space="preserve"> assi</w:t>
      </w:r>
      <w:r w:rsidR="00DF4AE6">
        <w:rPr>
          <w:rFonts w:ascii="Times New Roman" w:hAnsi="Times New Roman" w:cs="Times New Roman"/>
          <w:color w:val="000000"/>
        </w:rPr>
        <w:t>gnments</w:t>
      </w:r>
      <w:r w:rsidR="002029E3">
        <w:rPr>
          <w:rFonts w:ascii="Times New Roman" w:hAnsi="Times New Roman" w:cs="Times New Roman"/>
          <w:color w:val="000000"/>
        </w:rPr>
        <w:t xml:space="preserve"> and balance these with their research and service responsibilities</w:t>
      </w:r>
      <w:r w:rsidR="00DF4AE6">
        <w:rPr>
          <w:rFonts w:ascii="Times New Roman" w:hAnsi="Times New Roman" w:cs="Times New Roman"/>
          <w:color w:val="000000"/>
        </w:rPr>
        <w:t xml:space="preserve">. </w:t>
      </w:r>
      <w:r w:rsidR="0033330A">
        <w:rPr>
          <w:rFonts w:ascii="Times New Roman" w:hAnsi="Times New Roman" w:cs="Times New Roman"/>
          <w:color w:val="000000"/>
        </w:rPr>
        <w:t xml:space="preserve"> </w:t>
      </w:r>
      <w:r w:rsidR="007565F2">
        <w:rPr>
          <w:rFonts w:ascii="Times New Roman" w:hAnsi="Times New Roman" w:cs="Times New Roman"/>
          <w:color w:val="000000"/>
        </w:rPr>
        <w:t>Temporary adjustments to f</w:t>
      </w:r>
      <w:r w:rsidR="00B94260">
        <w:rPr>
          <w:rFonts w:ascii="Times New Roman" w:hAnsi="Times New Roman" w:cs="Times New Roman"/>
          <w:color w:val="000000"/>
        </w:rPr>
        <w:t xml:space="preserve">aculty service responsibilities, for example, </w:t>
      </w:r>
      <w:r w:rsidR="002029E3">
        <w:rPr>
          <w:rFonts w:ascii="Times New Roman" w:hAnsi="Times New Roman" w:cs="Times New Roman"/>
          <w:color w:val="000000"/>
        </w:rPr>
        <w:t>may</w:t>
      </w:r>
      <w:r w:rsidR="00B94260">
        <w:rPr>
          <w:rFonts w:ascii="Times New Roman" w:hAnsi="Times New Roman" w:cs="Times New Roman"/>
          <w:color w:val="000000"/>
        </w:rPr>
        <w:t xml:space="preserve"> be used to help</w:t>
      </w:r>
      <w:r w:rsidR="00C07BAB">
        <w:rPr>
          <w:rFonts w:ascii="Times New Roman" w:hAnsi="Times New Roman" w:cs="Times New Roman"/>
          <w:color w:val="000000"/>
        </w:rPr>
        <w:t xml:space="preserve"> </w:t>
      </w:r>
      <w:r w:rsidR="00DA2923">
        <w:rPr>
          <w:rFonts w:ascii="Times New Roman" w:hAnsi="Times New Roman" w:cs="Times New Roman"/>
          <w:color w:val="000000"/>
        </w:rPr>
        <w:t xml:space="preserve">a </w:t>
      </w:r>
      <w:r w:rsidR="00C07BAB">
        <w:rPr>
          <w:rFonts w:ascii="Times New Roman" w:hAnsi="Times New Roman" w:cs="Times New Roman"/>
          <w:color w:val="000000"/>
        </w:rPr>
        <w:t>faculty</w:t>
      </w:r>
      <w:r w:rsidR="00DA2923">
        <w:rPr>
          <w:rFonts w:ascii="Times New Roman" w:hAnsi="Times New Roman" w:cs="Times New Roman"/>
          <w:color w:val="000000"/>
        </w:rPr>
        <w:t xml:space="preserve"> member engage in ad hoc or unusual academic program responsibilities such as</w:t>
      </w:r>
      <w:r w:rsidR="00AC6F17">
        <w:rPr>
          <w:rFonts w:ascii="Times New Roman" w:hAnsi="Times New Roman" w:cs="Times New Roman"/>
          <w:color w:val="000000"/>
        </w:rPr>
        <w:t>:</w:t>
      </w:r>
      <w:r w:rsidR="00C07BAB">
        <w:rPr>
          <w:rFonts w:ascii="Times New Roman" w:hAnsi="Times New Roman" w:cs="Times New Roman"/>
          <w:color w:val="000000"/>
        </w:rPr>
        <w:t xml:space="preserve"> </w:t>
      </w:r>
      <w:r w:rsidR="00DA2923">
        <w:rPr>
          <w:rFonts w:ascii="Times New Roman" w:hAnsi="Times New Roman" w:cs="Times New Roman"/>
          <w:color w:val="000000"/>
        </w:rPr>
        <w:t xml:space="preserve">a) preparing an accreditation </w:t>
      </w:r>
      <w:r w:rsidR="002B2E92">
        <w:rPr>
          <w:rFonts w:ascii="Times New Roman" w:hAnsi="Times New Roman" w:cs="Times New Roman"/>
          <w:color w:val="000000"/>
        </w:rPr>
        <w:t>report</w:t>
      </w:r>
      <w:r w:rsidR="007E7F7D">
        <w:rPr>
          <w:rFonts w:ascii="Times New Roman" w:hAnsi="Times New Roman" w:cs="Times New Roman"/>
          <w:color w:val="000000"/>
        </w:rPr>
        <w:t>,</w:t>
      </w:r>
      <w:r w:rsidR="002B2E92">
        <w:rPr>
          <w:rFonts w:ascii="Times New Roman" w:hAnsi="Times New Roman" w:cs="Times New Roman"/>
          <w:color w:val="000000"/>
        </w:rPr>
        <w:t xml:space="preserve"> or for an accreditor team </w:t>
      </w:r>
      <w:r w:rsidR="00DA2923">
        <w:rPr>
          <w:rFonts w:ascii="Times New Roman" w:hAnsi="Times New Roman" w:cs="Times New Roman"/>
          <w:color w:val="000000"/>
        </w:rPr>
        <w:t xml:space="preserve">site visit, b) </w:t>
      </w:r>
      <w:r w:rsidR="00C07BAB">
        <w:rPr>
          <w:rFonts w:ascii="Times New Roman" w:hAnsi="Times New Roman" w:cs="Times New Roman"/>
          <w:color w:val="000000"/>
        </w:rPr>
        <w:t>coordinat</w:t>
      </w:r>
      <w:r w:rsidR="00DA2923">
        <w:rPr>
          <w:rFonts w:ascii="Times New Roman" w:hAnsi="Times New Roman" w:cs="Times New Roman"/>
          <w:color w:val="000000"/>
        </w:rPr>
        <w:t>ing</w:t>
      </w:r>
      <w:r w:rsidR="00B94260">
        <w:rPr>
          <w:rFonts w:ascii="Times New Roman" w:hAnsi="Times New Roman" w:cs="Times New Roman"/>
          <w:color w:val="000000"/>
        </w:rPr>
        <w:t xml:space="preserve"> </w:t>
      </w:r>
      <w:r w:rsidR="002B2E92">
        <w:rPr>
          <w:rFonts w:ascii="Times New Roman" w:hAnsi="Times New Roman" w:cs="Times New Roman"/>
          <w:color w:val="000000"/>
        </w:rPr>
        <w:t xml:space="preserve">a </w:t>
      </w:r>
      <w:r w:rsidR="00B94260">
        <w:rPr>
          <w:rFonts w:ascii="Times New Roman" w:hAnsi="Times New Roman" w:cs="Times New Roman"/>
          <w:color w:val="000000"/>
        </w:rPr>
        <w:t>developing</w:t>
      </w:r>
      <w:r w:rsidR="002B2E92">
        <w:rPr>
          <w:rFonts w:ascii="Times New Roman" w:hAnsi="Times New Roman" w:cs="Times New Roman"/>
          <w:color w:val="000000"/>
        </w:rPr>
        <w:t xml:space="preserve"> program with small enrollments,</w:t>
      </w:r>
      <w:r w:rsidR="00B94260">
        <w:rPr>
          <w:rFonts w:ascii="Times New Roman" w:hAnsi="Times New Roman" w:cs="Times New Roman"/>
          <w:color w:val="000000"/>
        </w:rPr>
        <w:t xml:space="preserve"> </w:t>
      </w:r>
      <w:r w:rsidR="00DA2923">
        <w:rPr>
          <w:rFonts w:ascii="Times New Roman" w:hAnsi="Times New Roman" w:cs="Times New Roman"/>
          <w:color w:val="000000"/>
        </w:rPr>
        <w:t xml:space="preserve">or deactivating </w:t>
      </w:r>
      <w:r w:rsidR="004B710A">
        <w:rPr>
          <w:rFonts w:ascii="Times New Roman" w:hAnsi="Times New Roman" w:cs="Times New Roman"/>
          <w:color w:val="000000"/>
        </w:rPr>
        <w:t xml:space="preserve">an </w:t>
      </w:r>
      <w:r w:rsidR="00B94260">
        <w:rPr>
          <w:rFonts w:ascii="Times New Roman" w:hAnsi="Times New Roman" w:cs="Times New Roman"/>
          <w:color w:val="000000"/>
        </w:rPr>
        <w:t>academic program</w:t>
      </w:r>
      <w:r w:rsidR="002B2E92">
        <w:rPr>
          <w:rFonts w:ascii="Times New Roman" w:hAnsi="Times New Roman" w:cs="Times New Roman"/>
          <w:color w:val="000000"/>
        </w:rPr>
        <w:t xml:space="preserve">, or </w:t>
      </w:r>
      <w:r w:rsidR="00DA2923">
        <w:rPr>
          <w:rFonts w:ascii="Times New Roman" w:hAnsi="Times New Roman" w:cs="Times New Roman"/>
          <w:color w:val="000000"/>
        </w:rPr>
        <w:t xml:space="preserve">c) </w:t>
      </w:r>
      <w:r w:rsidR="007D0083">
        <w:rPr>
          <w:rFonts w:ascii="Times New Roman" w:hAnsi="Times New Roman" w:cs="Times New Roman"/>
          <w:color w:val="000000"/>
        </w:rPr>
        <w:t>service as an external</w:t>
      </w:r>
      <w:r w:rsidR="000823C4">
        <w:rPr>
          <w:rFonts w:ascii="Times New Roman" w:hAnsi="Times New Roman" w:cs="Times New Roman"/>
          <w:color w:val="000000"/>
        </w:rPr>
        <w:t xml:space="preserve"> reviewer for an ad hoc</w:t>
      </w:r>
      <w:r w:rsidR="007D0083">
        <w:rPr>
          <w:rFonts w:ascii="Times New Roman" w:hAnsi="Times New Roman" w:cs="Times New Roman"/>
          <w:color w:val="000000"/>
        </w:rPr>
        <w:t xml:space="preserve"> academic program review </w:t>
      </w:r>
      <w:r w:rsidR="000823C4">
        <w:rPr>
          <w:rFonts w:ascii="Times New Roman" w:hAnsi="Times New Roman" w:cs="Times New Roman"/>
          <w:color w:val="000000"/>
        </w:rPr>
        <w:t>committee</w:t>
      </w:r>
      <w:r w:rsidR="007D0083">
        <w:rPr>
          <w:rFonts w:ascii="Times New Roman" w:hAnsi="Times New Roman" w:cs="Times New Roman"/>
          <w:color w:val="000000"/>
        </w:rPr>
        <w:t xml:space="preserve">.  </w:t>
      </w:r>
      <w:r w:rsidR="00467497">
        <w:rPr>
          <w:rFonts w:ascii="Times New Roman" w:hAnsi="Times New Roman" w:cs="Times New Roman"/>
          <w:color w:val="000000"/>
        </w:rPr>
        <w:t>These activities may require</w:t>
      </w:r>
      <w:r w:rsidR="000823C4">
        <w:rPr>
          <w:rFonts w:ascii="Times New Roman" w:hAnsi="Times New Roman" w:cs="Times New Roman"/>
          <w:color w:val="000000"/>
        </w:rPr>
        <w:t>, for example,</w:t>
      </w:r>
      <w:r w:rsidR="00FB4D7B">
        <w:rPr>
          <w:rFonts w:ascii="Times New Roman" w:hAnsi="Times New Roman" w:cs="Times New Roman"/>
          <w:color w:val="000000"/>
        </w:rPr>
        <w:t xml:space="preserve"> </w:t>
      </w:r>
      <w:r w:rsidR="00467497">
        <w:rPr>
          <w:rFonts w:ascii="Times New Roman" w:hAnsi="Times New Roman" w:cs="Times New Roman"/>
          <w:color w:val="000000"/>
        </w:rPr>
        <w:t>temporary reductions in ongoing service activities such as multiple committee assignments at departmental, college, or university levels</w:t>
      </w:r>
      <w:r w:rsidR="003A1287">
        <w:rPr>
          <w:rFonts w:ascii="Times New Roman" w:hAnsi="Times New Roman" w:cs="Times New Roman"/>
          <w:color w:val="000000"/>
        </w:rPr>
        <w:t>.</w:t>
      </w:r>
      <w:r w:rsidR="00C31F78">
        <w:rPr>
          <w:rFonts w:ascii="Times New Roman" w:hAnsi="Times New Roman" w:cs="Times New Roman"/>
          <w:color w:val="000000"/>
        </w:rPr>
        <w:t xml:space="preserve"> </w:t>
      </w:r>
    </w:p>
    <w:p w14:paraId="3A0F6A1D" w14:textId="3246EAED" w:rsidR="009C68C4" w:rsidRPr="00463D06" w:rsidRDefault="009C68C4" w:rsidP="003A1287">
      <w:pPr>
        <w:widowControl w:val="0"/>
        <w:tabs>
          <w:tab w:val="left" w:pos="220"/>
          <w:tab w:val="left" w:pos="720"/>
        </w:tabs>
        <w:autoSpaceDE w:val="0"/>
        <w:autoSpaceDN w:val="0"/>
        <w:adjustRightInd w:val="0"/>
        <w:rPr>
          <w:rFonts w:ascii="Times New Roman" w:hAnsi="Times New Roman" w:cs="Times New Roman"/>
          <w:color w:val="FF0000"/>
        </w:rPr>
      </w:pPr>
      <w:r w:rsidRPr="00463D06">
        <w:rPr>
          <w:rFonts w:ascii="Times New Roman" w:hAnsi="Times New Roman" w:cs="Times New Roman"/>
          <w:color w:val="FF0000"/>
        </w:rPr>
        <w:t>As provided for in the College’s professional responsibilities polices a</w:t>
      </w:r>
      <w:r w:rsidR="00984D5C" w:rsidRPr="00463D06">
        <w:rPr>
          <w:rFonts w:ascii="Times New Roman" w:hAnsi="Times New Roman" w:cs="Times New Roman"/>
          <w:color w:val="FF0000"/>
        </w:rPr>
        <w:t xml:space="preserve">nd Article 17 of the </w:t>
      </w:r>
      <w:r w:rsidRPr="00463D06">
        <w:rPr>
          <w:rFonts w:ascii="Times New Roman" w:hAnsi="Times New Roman" w:cs="Times New Roman"/>
          <w:color w:val="FF0000"/>
        </w:rPr>
        <w:t>CBA, before assigning professional responsibilities, faculty members shall have the opportunity to meet with their Department Head</w:t>
      </w:r>
      <w:r w:rsidR="00DA4A96" w:rsidRPr="00463D06">
        <w:rPr>
          <w:rFonts w:ascii="Times New Roman" w:hAnsi="Times New Roman" w:cs="Times New Roman"/>
          <w:color w:val="FF0000"/>
        </w:rPr>
        <w:t>s</w:t>
      </w:r>
      <w:r w:rsidRPr="00463D06">
        <w:rPr>
          <w:rFonts w:ascii="Times New Roman" w:hAnsi="Times New Roman" w:cs="Times New Roman"/>
          <w:color w:val="FF0000"/>
        </w:rPr>
        <w:t xml:space="preserve"> to discuss their </w:t>
      </w:r>
      <w:r w:rsidR="00984D5C" w:rsidRPr="00463D06">
        <w:rPr>
          <w:rFonts w:ascii="Times New Roman" w:hAnsi="Times New Roman" w:cs="Times New Roman"/>
          <w:color w:val="FF0000"/>
        </w:rPr>
        <w:t xml:space="preserve">work </w:t>
      </w:r>
      <w:r w:rsidRPr="00463D06">
        <w:rPr>
          <w:rFonts w:ascii="Times New Roman" w:hAnsi="Times New Roman" w:cs="Times New Roman"/>
          <w:color w:val="FF0000"/>
        </w:rPr>
        <w:t>assignment preferences</w:t>
      </w:r>
      <w:r w:rsidR="00984D5C" w:rsidRPr="00463D06">
        <w:rPr>
          <w:rFonts w:ascii="Times New Roman" w:hAnsi="Times New Roman" w:cs="Times New Roman"/>
          <w:color w:val="FF0000"/>
        </w:rPr>
        <w:t xml:space="preserve">. </w:t>
      </w:r>
    </w:p>
    <w:p w14:paraId="3BEFBA66" w14:textId="77777777" w:rsidR="00966E21" w:rsidRDefault="00966E21" w:rsidP="00801C6B">
      <w:pPr>
        <w:widowControl w:val="0"/>
        <w:tabs>
          <w:tab w:val="left" w:pos="220"/>
          <w:tab w:val="left" w:pos="720"/>
        </w:tabs>
        <w:autoSpaceDE w:val="0"/>
        <w:autoSpaceDN w:val="0"/>
        <w:adjustRightInd w:val="0"/>
        <w:rPr>
          <w:rFonts w:ascii="Times New Roman" w:hAnsi="Times New Roman" w:cs="Times New Roman"/>
          <w:color w:val="000000"/>
        </w:rPr>
      </w:pPr>
    </w:p>
    <w:p w14:paraId="76CE9C04" w14:textId="26375220" w:rsidR="00966E21" w:rsidRDefault="00966E21" w:rsidP="00801C6B">
      <w:pPr>
        <w:widowControl w:val="0"/>
        <w:tabs>
          <w:tab w:val="left" w:pos="220"/>
          <w:tab w:val="left" w:pos="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Sample Course Assignments</w:t>
      </w:r>
    </w:p>
    <w:p w14:paraId="6F4431CC" w14:textId="77777777" w:rsidR="00966E21" w:rsidRDefault="00966E21" w:rsidP="00801C6B">
      <w:pPr>
        <w:widowControl w:val="0"/>
        <w:tabs>
          <w:tab w:val="left" w:pos="220"/>
          <w:tab w:val="left" w:pos="720"/>
        </w:tabs>
        <w:autoSpaceDE w:val="0"/>
        <w:autoSpaceDN w:val="0"/>
        <w:adjustRightInd w:val="0"/>
        <w:rPr>
          <w:rFonts w:ascii="Times New Roman" w:hAnsi="Times New Roman" w:cs="Times New Roman"/>
          <w:b/>
          <w:color w:val="000000"/>
        </w:rPr>
      </w:pPr>
    </w:p>
    <w:p w14:paraId="33566892" w14:textId="25AE1E37" w:rsidR="00966E21" w:rsidRPr="00331283" w:rsidRDefault="009A4150" w:rsidP="00801C6B">
      <w:pPr>
        <w:widowControl w:val="0"/>
        <w:tabs>
          <w:tab w:val="left" w:pos="220"/>
          <w:tab w:val="left" w:pos="720"/>
        </w:tabs>
        <w:autoSpaceDE w:val="0"/>
        <w:autoSpaceDN w:val="0"/>
        <w:adjustRightInd w:val="0"/>
        <w:rPr>
          <w:rFonts w:ascii="Times New Roman" w:hAnsi="Times New Roman" w:cs="Times New Roman"/>
          <w:b/>
          <w:color w:val="000000"/>
          <w:u w:val="single"/>
        </w:rPr>
      </w:pPr>
      <w:r>
        <w:rPr>
          <w:rFonts w:ascii="Times New Roman" w:hAnsi="Times New Roman" w:cs="Times New Roman"/>
          <w:color w:val="000000"/>
        </w:rPr>
        <w:t xml:space="preserve">The following examples are provided to describe how course assignments are made </w:t>
      </w:r>
      <w:r w:rsidR="00E95AF3">
        <w:rPr>
          <w:rFonts w:ascii="Times New Roman" w:hAnsi="Times New Roman" w:cs="Times New Roman"/>
          <w:color w:val="000000"/>
        </w:rPr>
        <w:t xml:space="preserve">in a </w:t>
      </w:r>
      <w:r w:rsidR="00E95AF3">
        <w:rPr>
          <w:rFonts w:ascii="Times New Roman" w:hAnsi="Times New Roman" w:cs="Times New Roman"/>
          <w:color w:val="000000"/>
        </w:rPr>
        <w:lastRenderedPageBreak/>
        <w:t xml:space="preserve">manner </w:t>
      </w:r>
      <w:r>
        <w:rPr>
          <w:rFonts w:ascii="Times New Roman" w:hAnsi="Times New Roman" w:cs="Times New Roman"/>
          <w:color w:val="000000"/>
        </w:rPr>
        <w:t xml:space="preserve">consistent with approved workload policies.  </w:t>
      </w:r>
      <w:r w:rsidRPr="00331283">
        <w:rPr>
          <w:rFonts w:ascii="Times New Roman" w:hAnsi="Times New Roman" w:cs="Times New Roman"/>
          <w:b/>
          <w:color w:val="000000"/>
          <w:u w:val="single"/>
        </w:rPr>
        <w:t>These examples are by no means exhaustive given the diversity of faculty work.</w:t>
      </w:r>
    </w:p>
    <w:p w14:paraId="5D8767C9" w14:textId="77777777" w:rsidR="00227213" w:rsidRDefault="00227213" w:rsidP="00227213">
      <w:pPr>
        <w:pStyle w:val="Body"/>
      </w:pPr>
    </w:p>
    <w:p w14:paraId="69430D0C" w14:textId="54996CBE" w:rsidR="00C37253" w:rsidRPr="006D7AA5" w:rsidRDefault="00264079" w:rsidP="00C37253">
      <w:pPr>
        <w:pStyle w:val="Body"/>
        <w:rPr>
          <w:rFonts w:ascii="Times New Roman" w:hAnsi="Times New Roman" w:cs="Times New Roman"/>
          <w:sz w:val="24"/>
          <w:szCs w:val="24"/>
        </w:rPr>
      </w:pPr>
      <w:r>
        <w:rPr>
          <w:rFonts w:ascii="Times New Roman" w:hAnsi="Times New Roman" w:cs="Times New Roman"/>
          <w:sz w:val="24"/>
          <w:szCs w:val="24"/>
        </w:rPr>
        <w:t>Career-</w:t>
      </w:r>
      <w:r w:rsidR="007178AF" w:rsidRPr="007178AF">
        <w:rPr>
          <w:rFonts w:ascii="Times New Roman" w:hAnsi="Times New Roman" w:cs="Times New Roman"/>
          <w:sz w:val="24"/>
          <w:szCs w:val="24"/>
        </w:rPr>
        <w:t xml:space="preserve">track faculty </w:t>
      </w:r>
      <w:r>
        <w:rPr>
          <w:rFonts w:ascii="Times New Roman" w:hAnsi="Times New Roman" w:cs="Times New Roman"/>
          <w:sz w:val="24"/>
          <w:szCs w:val="24"/>
        </w:rPr>
        <w:t xml:space="preserve">(i.e., greater than .90 instructional FTE) </w:t>
      </w:r>
      <w:r w:rsidR="007178AF" w:rsidRPr="007178AF">
        <w:rPr>
          <w:rFonts w:ascii="Times New Roman" w:hAnsi="Times New Roman" w:cs="Times New Roman"/>
          <w:sz w:val="24"/>
          <w:szCs w:val="24"/>
        </w:rPr>
        <w:t>sample sce</w:t>
      </w:r>
      <w:r w:rsidR="007178AF" w:rsidRPr="00AA091C">
        <w:rPr>
          <w:rFonts w:ascii="Times New Roman" w:hAnsi="Times New Roman" w:cs="Times New Roman"/>
          <w:sz w:val="24"/>
          <w:szCs w:val="24"/>
        </w:rPr>
        <w:t xml:space="preserve">narios for academic year instructional assignments </w:t>
      </w:r>
      <w:r w:rsidR="005A7998" w:rsidRPr="006D7AA5">
        <w:rPr>
          <w:rFonts w:ascii="Times New Roman" w:hAnsi="Times New Roman" w:cs="Times New Roman"/>
          <w:sz w:val="24"/>
          <w:szCs w:val="24"/>
        </w:rPr>
        <w:t>may include:</w:t>
      </w:r>
    </w:p>
    <w:p w14:paraId="3E789DA3" w14:textId="77777777" w:rsidR="001F11BA" w:rsidRPr="006D7AA5" w:rsidRDefault="001F11BA" w:rsidP="00C37253">
      <w:pPr>
        <w:pStyle w:val="Body"/>
        <w:rPr>
          <w:rFonts w:ascii="Times New Roman" w:hAnsi="Times New Roman" w:cs="Times New Roman"/>
          <w:sz w:val="24"/>
          <w:szCs w:val="24"/>
        </w:rPr>
      </w:pPr>
    </w:p>
    <w:p w14:paraId="344439A7" w14:textId="5C90CF59" w:rsidR="001F11BA" w:rsidRPr="006D7AA5" w:rsidRDefault="00264079" w:rsidP="006D7AA5">
      <w:pPr>
        <w:pStyle w:val="Body"/>
        <w:numPr>
          <w:ilvl w:val="0"/>
          <w:numId w:val="4"/>
        </w:numPr>
        <w:rPr>
          <w:rFonts w:ascii="Times New Roman" w:hAnsi="Times New Roman" w:cs="Times New Roman"/>
          <w:sz w:val="24"/>
          <w:szCs w:val="24"/>
        </w:rPr>
      </w:pPr>
      <w:r>
        <w:rPr>
          <w:rFonts w:ascii="Times New Roman" w:hAnsi="Times New Roman" w:cs="Times New Roman"/>
          <w:sz w:val="24"/>
          <w:szCs w:val="24"/>
        </w:rPr>
        <w:t>Eight courses</w:t>
      </w:r>
      <w:r w:rsidR="001F11BA" w:rsidRPr="006D7AA5">
        <w:rPr>
          <w:rFonts w:ascii="Times New Roman" w:hAnsi="Times New Roman" w:cs="Times New Roman"/>
          <w:sz w:val="24"/>
          <w:szCs w:val="24"/>
        </w:rPr>
        <w:t xml:space="preserve"> </w:t>
      </w:r>
      <w:r w:rsidR="00481CEA">
        <w:rPr>
          <w:rFonts w:ascii="Times New Roman" w:hAnsi="Times New Roman" w:cs="Times New Roman"/>
          <w:sz w:val="24"/>
          <w:szCs w:val="24"/>
        </w:rPr>
        <w:t>–</w:t>
      </w:r>
      <w:r w:rsidR="001F11BA" w:rsidRPr="006D7AA5">
        <w:rPr>
          <w:rFonts w:ascii="Times New Roman" w:hAnsi="Times New Roman" w:cs="Times New Roman"/>
          <w:sz w:val="24"/>
          <w:szCs w:val="24"/>
        </w:rPr>
        <w:t xml:space="preserve"> </w:t>
      </w:r>
      <w:r w:rsidR="00481CEA">
        <w:rPr>
          <w:rFonts w:ascii="Times New Roman" w:hAnsi="Times New Roman" w:cs="Times New Roman"/>
          <w:sz w:val="24"/>
          <w:szCs w:val="24"/>
        </w:rPr>
        <w:t xml:space="preserve">teaching 8 </w:t>
      </w:r>
      <w:r w:rsidR="001F11BA" w:rsidRPr="006D7AA5">
        <w:rPr>
          <w:rFonts w:ascii="Times New Roman" w:hAnsi="Times New Roman" w:cs="Times New Roman"/>
          <w:sz w:val="24"/>
          <w:szCs w:val="24"/>
        </w:rPr>
        <w:t>graduate, undergraduate</w:t>
      </w:r>
      <w:r w:rsidR="00481CEA">
        <w:rPr>
          <w:rFonts w:ascii="Times New Roman" w:hAnsi="Times New Roman" w:cs="Times New Roman"/>
          <w:sz w:val="24"/>
          <w:szCs w:val="24"/>
        </w:rPr>
        <w:t xml:space="preserve"> courses</w:t>
      </w:r>
      <w:r w:rsidR="001F11BA" w:rsidRPr="006D7AA5">
        <w:rPr>
          <w:rFonts w:ascii="Times New Roman" w:hAnsi="Times New Roman" w:cs="Times New Roman"/>
          <w:sz w:val="24"/>
          <w:szCs w:val="24"/>
        </w:rPr>
        <w:t>, or mixture of the two</w:t>
      </w:r>
    </w:p>
    <w:p w14:paraId="61888165" w14:textId="6A266DE3" w:rsidR="001F11BA" w:rsidRPr="006D7AA5" w:rsidRDefault="001F11BA" w:rsidP="006D7AA5">
      <w:pPr>
        <w:pStyle w:val="Body"/>
        <w:numPr>
          <w:ilvl w:val="0"/>
          <w:numId w:val="4"/>
        </w:numPr>
        <w:rPr>
          <w:rFonts w:ascii="Times New Roman" w:hAnsi="Times New Roman" w:cs="Times New Roman"/>
          <w:sz w:val="24"/>
          <w:szCs w:val="24"/>
        </w:rPr>
      </w:pPr>
      <w:r w:rsidRPr="006D7AA5">
        <w:rPr>
          <w:rFonts w:ascii="Times New Roman" w:hAnsi="Times New Roman" w:cs="Times New Roman"/>
          <w:sz w:val="24"/>
          <w:szCs w:val="24"/>
        </w:rPr>
        <w:t>Sev</w:t>
      </w:r>
      <w:r w:rsidR="00264079">
        <w:rPr>
          <w:rFonts w:ascii="Times New Roman" w:hAnsi="Times New Roman" w:cs="Times New Roman"/>
          <w:sz w:val="24"/>
          <w:szCs w:val="24"/>
        </w:rPr>
        <w:t>en courses</w:t>
      </w:r>
      <w:r w:rsidR="00A36A9B" w:rsidRPr="00250686">
        <w:rPr>
          <w:rFonts w:ascii="Times New Roman" w:hAnsi="Times New Roman" w:cs="Times New Roman"/>
          <w:sz w:val="24"/>
          <w:szCs w:val="24"/>
        </w:rPr>
        <w:t xml:space="preserve"> </w:t>
      </w:r>
      <w:r w:rsidR="00481CEA">
        <w:rPr>
          <w:rFonts w:ascii="Times New Roman" w:hAnsi="Times New Roman" w:cs="Times New Roman"/>
          <w:sz w:val="24"/>
          <w:szCs w:val="24"/>
        </w:rPr>
        <w:t>–</w:t>
      </w:r>
      <w:r w:rsidR="00A36A9B" w:rsidRPr="00250686">
        <w:rPr>
          <w:rFonts w:ascii="Times New Roman" w:hAnsi="Times New Roman" w:cs="Times New Roman"/>
          <w:sz w:val="24"/>
          <w:szCs w:val="24"/>
        </w:rPr>
        <w:t xml:space="preserve"> </w:t>
      </w:r>
      <w:r w:rsidR="00481CEA">
        <w:rPr>
          <w:rFonts w:ascii="Times New Roman" w:hAnsi="Times New Roman" w:cs="Times New Roman"/>
          <w:sz w:val="24"/>
          <w:szCs w:val="24"/>
        </w:rPr>
        <w:t xml:space="preserve">teaching 7 courses </w:t>
      </w:r>
      <w:r w:rsidR="00A36A9B" w:rsidRPr="00250686">
        <w:rPr>
          <w:rFonts w:ascii="Times New Roman" w:hAnsi="Times New Roman" w:cs="Times New Roman"/>
          <w:sz w:val="24"/>
          <w:szCs w:val="24"/>
        </w:rPr>
        <w:t>in addition to</w:t>
      </w:r>
      <w:r w:rsidR="00A60E5E">
        <w:rPr>
          <w:rFonts w:ascii="Times New Roman" w:hAnsi="Times New Roman" w:cs="Times New Roman"/>
          <w:sz w:val="24"/>
          <w:szCs w:val="24"/>
        </w:rPr>
        <w:t xml:space="preserve"> using one course release in conjunction with</w:t>
      </w:r>
      <w:r w:rsidR="00A36A9B" w:rsidRPr="00250686">
        <w:rPr>
          <w:rFonts w:ascii="Times New Roman" w:hAnsi="Times New Roman" w:cs="Times New Roman"/>
          <w:sz w:val="24"/>
          <w:szCs w:val="24"/>
        </w:rPr>
        <w:t xml:space="preserve"> </w:t>
      </w:r>
      <w:r w:rsidR="00A60E5E">
        <w:rPr>
          <w:rFonts w:ascii="Times New Roman" w:hAnsi="Times New Roman" w:cs="Times New Roman"/>
          <w:sz w:val="24"/>
          <w:szCs w:val="24"/>
        </w:rPr>
        <w:t xml:space="preserve">allocated </w:t>
      </w:r>
      <w:r w:rsidR="00A36A9B" w:rsidRPr="00250686">
        <w:rPr>
          <w:rFonts w:ascii="Times New Roman" w:hAnsi="Times New Roman" w:cs="Times New Roman"/>
          <w:sz w:val="24"/>
          <w:szCs w:val="24"/>
        </w:rPr>
        <w:t xml:space="preserve">service </w:t>
      </w:r>
      <w:r w:rsidR="00250686">
        <w:rPr>
          <w:rFonts w:ascii="Times New Roman" w:hAnsi="Times New Roman" w:cs="Times New Roman"/>
          <w:sz w:val="24"/>
          <w:szCs w:val="24"/>
        </w:rPr>
        <w:t xml:space="preserve">time </w:t>
      </w:r>
      <w:r w:rsidRPr="006D7AA5">
        <w:rPr>
          <w:rFonts w:ascii="Times New Roman" w:hAnsi="Times New Roman" w:cs="Times New Roman"/>
          <w:sz w:val="24"/>
          <w:szCs w:val="24"/>
        </w:rPr>
        <w:t xml:space="preserve">to coordinate an established graduate </w:t>
      </w:r>
      <w:r w:rsidR="00934CC3">
        <w:rPr>
          <w:rFonts w:ascii="Times New Roman" w:hAnsi="Times New Roman" w:cs="Times New Roman"/>
          <w:sz w:val="24"/>
          <w:szCs w:val="24"/>
        </w:rPr>
        <w:t xml:space="preserve">or undergraduate </w:t>
      </w:r>
      <w:r w:rsidRPr="006D7AA5">
        <w:rPr>
          <w:rFonts w:ascii="Times New Roman" w:hAnsi="Times New Roman" w:cs="Times New Roman"/>
          <w:sz w:val="24"/>
          <w:szCs w:val="24"/>
        </w:rPr>
        <w:t>program</w:t>
      </w:r>
      <w:r w:rsidR="005A7998" w:rsidRPr="006D7AA5">
        <w:rPr>
          <w:rFonts w:ascii="Times New Roman" w:hAnsi="Times New Roman" w:cs="Times New Roman"/>
          <w:sz w:val="24"/>
          <w:szCs w:val="24"/>
        </w:rPr>
        <w:t xml:space="preserve">. </w:t>
      </w:r>
    </w:p>
    <w:p w14:paraId="2D4B5405" w14:textId="22675391" w:rsidR="005A7998" w:rsidRPr="006D7AA5" w:rsidRDefault="005A7998" w:rsidP="006D7AA5">
      <w:pPr>
        <w:pStyle w:val="Body"/>
        <w:numPr>
          <w:ilvl w:val="0"/>
          <w:numId w:val="4"/>
        </w:numPr>
        <w:rPr>
          <w:rFonts w:ascii="Times New Roman" w:hAnsi="Times New Roman" w:cs="Times New Roman"/>
          <w:sz w:val="24"/>
          <w:szCs w:val="24"/>
        </w:rPr>
      </w:pPr>
      <w:r w:rsidRPr="006D7AA5">
        <w:rPr>
          <w:rFonts w:ascii="Times New Roman" w:hAnsi="Times New Roman" w:cs="Times New Roman"/>
          <w:sz w:val="24"/>
          <w:szCs w:val="24"/>
        </w:rPr>
        <w:t>E</w:t>
      </w:r>
      <w:r w:rsidR="00264079">
        <w:rPr>
          <w:rFonts w:ascii="Times New Roman" w:hAnsi="Times New Roman" w:cs="Times New Roman"/>
          <w:sz w:val="24"/>
          <w:szCs w:val="24"/>
        </w:rPr>
        <w:t>ight courses</w:t>
      </w:r>
      <w:r w:rsidRPr="006D7AA5">
        <w:rPr>
          <w:rFonts w:ascii="Times New Roman" w:hAnsi="Times New Roman" w:cs="Times New Roman"/>
          <w:sz w:val="24"/>
          <w:szCs w:val="24"/>
        </w:rPr>
        <w:t xml:space="preserve"> – </w:t>
      </w:r>
      <w:r w:rsidR="00A60E5E">
        <w:rPr>
          <w:rFonts w:ascii="Times New Roman" w:hAnsi="Times New Roman" w:cs="Times New Roman"/>
          <w:sz w:val="24"/>
          <w:szCs w:val="24"/>
        </w:rPr>
        <w:t xml:space="preserve">teaching 2 </w:t>
      </w:r>
      <w:r w:rsidRPr="006D7AA5">
        <w:rPr>
          <w:rFonts w:ascii="Times New Roman" w:hAnsi="Times New Roman" w:cs="Times New Roman"/>
          <w:sz w:val="24"/>
          <w:szCs w:val="24"/>
        </w:rPr>
        <w:t>regular graduate or undergraduate classes of</w:t>
      </w:r>
      <w:r w:rsidR="00C10279">
        <w:rPr>
          <w:rFonts w:ascii="Times New Roman" w:hAnsi="Times New Roman" w:cs="Times New Roman"/>
          <w:sz w:val="24"/>
          <w:szCs w:val="24"/>
        </w:rPr>
        <w:t xml:space="preserve"> at least</w:t>
      </w:r>
      <w:r w:rsidRPr="006D7AA5">
        <w:rPr>
          <w:rFonts w:ascii="Times New Roman" w:hAnsi="Times New Roman" w:cs="Times New Roman"/>
          <w:sz w:val="24"/>
          <w:szCs w:val="24"/>
        </w:rPr>
        <w:t xml:space="preserve"> three credits </w:t>
      </w:r>
      <w:r w:rsidR="00A60E5E">
        <w:rPr>
          <w:rFonts w:ascii="Times New Roman" w:hAnsi="Times New Roman" w:cs="Times New Roman"/>
          <w:sz w:val="24"/>
          <w:szCs w:val="24"/>
        </w:rPr>
        <w:t xml:space="preserve">in addition to </w:t>
      </w:r>
      <w:r w:rsidR="00F11096">
        <w:rPr>
          <w:rFonts w:ascii="Times New Roman" w:hAnsi="Times New Roman" w:cs="Times New Roman"/>
          <w:sz w:val="24"/>
          <w:szCs w:val="24"/>
        </w:rPr>
        <w:t>6 practicum/supervision/internship/clinical training courses.</w:t>
      </w:r>
      <w:r w:rsidR="00A60E5E">
        <w:rPr>
          <w:rFonts w:ascii="Times New Roman" w:hAnsi="Times New Roman" w:cs="Times New Roman"/>
          <w:sz w:val="24"/>
          <w:szCs w:val="24"/>
        </w:rPr>
        <w:t xml:space="preserve"> </w:t>
      </w:r>
    </w:p>
    <w:p w14:paraId="5A897052" w14:textId="4BBCCFBD" w:rsidR="005A7998" w:rsidRPr="006D7AA5" w:rsidRDefault="00264079" w:rsidP="006D7AA5">
      <w:pPr>
        <w:pStyle w:val="Body"/>
        <w:numPr>
          <w:ilvl w:val="0"/>
          <w:numId w:val="4"/>
        </w:numPr>
        <w:rPr>
          <w:rFonts w:ascii="Times New Roman" w:hAnsi="Times New Roman" w:cs="Times New Roman"/>
          <w:sz w:val="24"/>
          <w:szCs w:val="24"/>
        </w:rPr>
      </w:pPr>
      <w:r>
        <w:rPr>
          <w:rFonts w:ascii="Times New Roman" w:hAnsi="Times New Roman" w:cs="Times New Roman"/>
          <w:sz w:val="24"/>
          <w:szCs w:val="24"/>
        </w:rPr>
        <w:t>Five courses</w:t>
      </w:r>
      <w:r w:rsidR="005A7998" w:rsidRPr="006D7AA5">
        <w:rPr>
          <w:rFonts w:ascii="Times New Roman" w:hAnsi="Times New Roman" w:cs="Times New Roman"/>
          <w:sz w:val="24"/>
          <w:szCs w:val="24"/>
        </w:rPr>
        <w:t xml:space="preserve"> – </w:t>
      </w:r>
      <w:r w:rsidR="00A60E5E">
        <w:rPr>
          <w:rFonts w:ascii="Times New Roman" w:hAnsi="Times New Roman" w:cs="Times New Roman"/>
          <w:sz w:val="24"/>
          <w:szCs w:val="24"/>
        </w:rPr>
        <w:t xml:space="preserve">teaching 5 courses in addition to having the </w:t>
      </w:r>
      <w:r w:rsidR="005A7998" w:rsidRPr="006D7AA5">
        <w:rPr>
          <w:rFonts w:ascii="Times New Roman" w:hAnsi="Times New Roman" w:cs="Times New Roman"/>
          <w:sz w:val="24"/>
          <w:szCs w:val="24"/>
        </w:rPr>
        <w:t xml:space="preserve">equivalent of three classes of </w:t>
      </w:r>
      <w:r w:rsidR="00C10279">
        <w:rPr>
          <w:rFonts w:ascii="Times New Roman" w:hAnsi="Times New Roman" w:cs="Times New Roman"/>
          <w:sz w:val="24"/>
          <w:szCs w:val="24"/>
        </w:rPr>
        <w:t xml:space="preserve">external </w:t>
      </w:r>
      <w:r w:rsidR="005A7998" w:rsidRPr="006D7AA5">
        <w:rPr>
          <w:rFonts w:ascii="Times New Roman" w:hAnsi="Times New Roman" w:cs="Times New Roman"/>
          <w:sz w:val="24"/>
          <w:szCs w:val="24"/>
        </w:rPr>
        <w:t>research</w:t>
      </w:r>
      <w:r w:rsidR="00C10279">
        <w:rPr>
          <w:rFonts w:ascii="Times New Roman" w:hAnsi="Times New Roman" w:cs="Times New Roman"/>
          <w:sz w:val="24"/>
          <w:szCs w:val="24"/>
        </w:rPr>
        <w:t xml:space="preserve"> </w:t>
      </w:r>
      <w:r w:rsidR="00607F19">
        <w:rPr>
          <w:rFonts w:ascii="Times New Roman" w:hAnsi="Times New Roman" w:cs="Times New Roman"/>
          <w:sz w:val="24"/>
          <w:szCs w:val="24"/>
        </w:rPr>
        <w:t>grant</w:t>
      </w:r>
      <w:r w:rsidR="005A7998" w:rsidRPr="006D7AA5">
        <w:rPr>
          <w:rFonts w:ascii="Times New Roman" w:hAnsi="Times New Roman" w:cs="Times New Roman"/>
          <w:sz w:val="24"/>
          <w:szCs w:val="24"/>
        </w:rPr>
        <w:t xml:space="preserve"> buyout</w:t>
      </w:r>
      <w:r w:rsidR="00F821BB">
        <w:rPr>
          <w:rFonts w:ascii="Times New Roman" w:hAnsi="Times New Roman" w:cs="Times New Roman"/>
          <w:sz w:val="24"/>
          <w:szCs w:val="24"/>
        </w:rPr>
        <w:t>.</w:t>
      </w:r>
    </w:p>
    <w:p w14:paraId="45D12994" w14:textId="77777777" w:rsidR="00C37253" w:rsidRDefault="00C37253" w:rsidP="00C37253">
      <w:pPr>
        <w:pStyle w:val="Body"/>
      </w:pPr>
    </w:p>
    <w:p w14:paraId="0434F527" w14:textId="672034AD" w:rsidR="00C37253" w:rsidRPr="006D7AA5" w:rsidRDefault="00486E82" w:rsidP="00C37253">
      <w:pPr>
        <w:rPr>
          <w:rFonts w:ascii="Times New Roman" w:hAnsi="Times New Roman" w:cs="Times New Roman"/>
        </w:rPr>
      </w:pPr>
      <w:r w:rsidRPr="006D7AA5">
        <w:rPr>
          <w:rFonts w:ascii="Times New Roman" w:hAnsi="Times New Roman" w:cs="Times New Roman"/>
        </w:rPr>
        <w:t>T</w:t>
      </w:r>
      <w:r w:rsidR="00C37253" w:rsidRPr="006D7AA5">
        <w:rPr>
          <w:rFonts w:ascii="Times New Roman" w:hAnsi="Times New Roman" w:cs="Times New Roman"/>
        </w:rPr>
        <w:t>enure-</w:t>
      </w:r>
      <w:r w:rsidR="00FD01B1" w:rsidRPr="00FD01B1">
        <w:rPr>
          <w:rFonts w:ascii="Times New Roman" w:hAnsi="Times New Roman" w:cs="Times New Roman"/>
        </w:rPr>
        <w:t xml:space="preserve">related faculty sample scenarios for academic year instructional assignments </w:t>
      </w:r>
      <w:r w:rsidRPr="006D7AA5">
        <w:rPr>
          <w:rFonts w:ascii="Times New Roman" w:hAnsi="Times New Roman" w:cs="Times New Roman"/>
        </w:rPr>
        <w:t>may include:</w:t>
      </w:r>
    </w:p>
    <w:p w14:paraId="48460A89" w14:textId="257A69D7" w:rsidR="00486E82" w:rsidRPr="00754B53" w:rsidRDefault="006B41A2" w:rsidP="00486E82">
      <w:pPr>
        <w:pStyle w:val="Body"/>
        <w:numPr>
          <w:ilvl w:val="0"/>
          <w:numId w:val="4"/>
        </w:numPr>
        <w:rPr>
          <w:rFonts w:ascii="Times New Roman" w:hAnsi="Times New Roman" w:cs="Times New Roman"/>
          <w:sz w:val="24"/>
          <w:szCs w:val="24"/>
        </w:rPr>
      </w:pPr>
      <w:r>
        <w:rPr>
          <w:rFonts w:ascii="Times New Roman" w:hAnsi="Times New Roman" w:cs="Times New Roman"/>
          <w:sz w:val="24"/>
          <w:szCs w:val="24"/>
        </w:rPr>
        <w:t>Five courses</w:t>
      </w:r>
      <w:r w:rsidR="00486E82" w:rsidRPr="00754B53">
        <w:rPr>
          <w:rFonts w:ascii="Times New Roman" w:hAnsi="Times New Roman" w:cs="Times New Roman"/>
          <w:sz w:val="24"/>
          <w:szCs w:val="24"/>
        </w:rPr>
        <w:t xml:space="preserve"> </w:t>
      </w:r>
      <w:r w:rsidR="00A60E5E">
        <w:rPr>
          <w:rFonts w:ascii="Times New Roman" w:hAnsi="Times New Roman" w:cs="Times New Roman"/>
          <w:sz w:val="24"/>
          <w:szCs w:val="24"/>
        </w:rPr>
        <w:t>–</w:t>
      </w:r>
      <w:r w:rsidR="00486E82" w:rsidRPr="00754B53">
        <w:rPr>
          <w:rFonts w:ascii="Times New Roman" w:hAnsi="Times New Roman" w:cs="Times New Roman"/>
          <w:sz w:val="24"/>
          <w:szCs w:val="24"/>
        </w:rPr>
        <w:t xml:space="preserve"> </w:t>
      </w:r>
      <w:r w:rsidR="00A60E5E">
        <w:rPr>
          <w:rFonts w:ascii="Times New Roman" w:hAnsi="Times New Roman" w:cs="Times New Roman"/>
          <w:sz w:val="24"/>
          <w:szCs w:val="24"/>
        </w:rPr>
        <w:t xml:space="preserve">teaching 5 </w:t>
      </w:r>
      <w:r w:rsidR="00486E82" w:rsidRPr="00754B53">
        <w:rPr>
          <w:rFonts w:ascii="Times New Roman" w:hAnsi="Times New Roman" w:cs="Times New Roman"/>
          <w:sz w:val="24"/>
          <w:szCs w:val="24"/>
        </w:rPr>
        <w:t>graduate, undergraduate</w:t>
      </w:r>
      <w:r w:rsidR="00A60E5E">
        <w:rPr>
          <w:rFonts w:ascii="Times New Roman" w:hAnsi="Times New Roman" w:cs="Times New Roman"/>
          <w:sz w:val="24"/>
          <w:szCs w:val="24"/>
        </w:rPr>
        <w:t xml:space="preserve"> courses</w:t>
      </w:r>
      <w:r w:rsidR="00486E82" w:rsidRPr="00754B53">
        <w:rPr>
          <w:rFonts w:ascii="Times New Roman" w:hAnsi="Times New Roman" w:cs="Times New Roman"/>
          <w:sz w:val="24"/>
          <w:szCs w:val="24"/>
        </w:rPr>
        <w:t>, or mixture of the two.</w:t>
      </w:r>
    </w:p>
    <w:p w14:paraId="420F15D2" w14:textId="5DE86F98" w:rsidR="00486E82" w:rsidRPr="003A33CC" w:rsidRDefault="00F11096" w:rsidP="00486E82">
      <w:pPr>
        <w:pStyle w:val="Body"/>
        <w:numPr>
          <w:ilvl w:val="0"/>
          <w:numId w:val="4"/>
        </w:numPr>
        <w:rPr>
          <w:rFonts w:ascii="Times New Roman" w:hAnsi="Times New Roman" w:cs="Times New Roman"/>
          <w:sz w:val="24"/>
          <w:szCs w:val="24"/>
        </w:rPr>
      </w:pPr>
      <w:r>
        <w:rPr>
          <w:rFonts w:ascii="Times New Roman" w:hAnsi="Times New Roman" w:cs="Times New Roman"/>
          <w:sz w:val="24"/>
          <w:szCs w:val="24"/>
        </w:rPr>
        <w:t>Three</w:t>
      </w:r>
      <w:r w:rsidR="00486E82" w:rsidRPr="003A33CC">
        <w:rPr>
          <w:rFonts w:ascii="Times New Roman" w:hAnsi="Times New Roman" w:cs="Times New Roman"/>
          <w:sz w:val="24"/>
          <w:szCs w:val="24"/>
        </w:rPr>
        <w:t xml:space="preserve"> classes </w:t>
      </w:r>
      <w:r w:rsidR="00A60E5E">
        <w:rPr>
          <w:rFonts w:ascii="Times New Roman" w:hAnsi="Times New Roman" w:cs="Times New Roman"/>
          <w:sz w:val="24"/>
          <w:szCs w:val="24"/>
        </w:rPr>
        <w:t>–</w:t>
      </w:r>
      <w:r w:rsidR="00486E82" w:rsidRPr="003A33CC">
        <w:rPr>
          <w:rFonts w:ascii="Times New Roman" w:hAnsi="Times New Roman" w:cs="Times New Roman"/>
          <w:sz w:val="24"/>
          <w:szCs w:val="24"/>
        </w:rPr>
        <w:t xml:space="preserve"> </w:t>
      </w:r>
      <w:r w:rsidR="00A60E5E">
        <w:rPr>
          <w:rFonts w:ascii="Times New Roman" w:hAnsi="Times New Roman" w:cs="Times New Roman"/>
          <w:sz w:val="24"/>
          <w:szCs w:val="24"/>
        </w:rPr>
        <w:t xml:space="preserve">teaching 3 courses in addition to using </w:t>
      </w:r>
      <w:r w:rsidR="00486E82" w:rsidRPr="003A33CC">
        <w:rPr>
          <w:rFonts w:ascii="Times New Roman" w:hAnsi="Times New Roman" w:cs="Times New Roman"/>
          <w:sz w:val="24"/>
          <w:szCs w:val="24"/>
        </w:rPr>
        <w:t xml:space="preserve">one course release to coordinate an established </w:t>
      </w:r>
      <w:r w:rsidR="00D87C77" w:rsidRPr="003A33CC">
        <w:rPr>
          <w:rFonts w:ascii="Times New Roman" w:hAnsi="Times New Roman" w:cs="Times New Roman"/>
          <w:sz w:val="24"/>
          <w:szCs w:val="24"/>
        </w:rPr>
        <w:t xml:space="preserve">undergraduate or </w:t>
      </w:r>
      <w:r w:rsidR="00486E82" w:rsidRPr="003A33CC">
        <w:rPr>
          <w:rFonts w:ascii="Times New Roman" w:hAnsi="Times New Roman" w:cs="Times New Roman"/>
          <w:sz w:val="24"/>
          <w:szCs w:val="24"/>
        </w:rPr>
        <w:t>graduate program</w:t>
      </w:r>
      <w:r w:rsidR="00A60E5E">
        <w:rPr>
          <w:rFonts w:ascii="Times New Roman" w:hAnsi="Times New Roman" w:cs="Times New Roman"/>
          <w:sz w:val="24"/>
          <w:szCs w:val="24"/>
        </w:rPr>
        <w:t xml:space="preserve"> (on a previously approved four-course workload)</w:t>
      </w:r>
      <w:r w:rsidR="00486E82" w:rsidRPr="003A33CC">
        <w:rPr>
          <w:rFonts w:ascii="Times New Roman" w:hAnsi="Times New Roman" w:cs="Times New Roman"/>
          <w:sz w:val="24"/>
          <w:szCs w:val="24"/>
        </w:rPr>
        <w:t xml:space="preserve">. </w:t>
      </w:r>
    </w:p>
    <w:p w14:paraId="7EAD793C" w14:textId="4B33BB4B" w:rsidR="00C37253" w:rsidRDefault="006B41A2" w:rsidP="006D7AA5">
      <w:pPr>
        <w:pStyle w:val="Body"/>
        <w:numPr>
          <w:ilvl w:val="0"/>
          <w:numId w:val="4"/>
        </w:numPr>
        <w:rPr>
          <w:rFonts w:ascii="Times New Roman" w:hAnsi="Times New Roman" w:cs="Times New Roman"/>
          <w:sz w:val="24"/>
          <w:szCs w:val="24"/>
        </w:rPr>
      </w:pPr>
      <w:r>
        <w:rPr>
          <w:rFonts w:ascii="Times New Roman" w:hAnsi="Times New Roman" w:cs="Times New Roman"/>
          <w:sz w:val="24"/>
          <w:szCs w:val="24"/>
        </w:rPr>
        <w:t>One course</w:t>
      </w:r>
      <w:r w:rsidR="00D87C77" w:rsidRPr="003A33CC">
        <w:rPr>
          <w:rFonts w:ascii="Times New Roman" w:hAnsi="Times New Roman" w:cs="Times New Roman"/>
          <w:sz w:val="24"/>
          <w:szCs w:val="24"/>
        </w:rPr>
        <w:t xml:space="preserve"> minimum per </w:t>
      </w:r>
      <w:r w:rsidR="0025185B">
        <w:rPr>
          <w:rFonts w:ascii="Times New Roman" w:hAnsi="Times New Roman" w:cs="Times New Roman"/>
          <w:sz w:val="24"/>
          <w:szCs w:val="24"/>
        </w:rPr>
        <w:t xml:space="preserve">B.1. </w:t>
      </w:r>
      <w:proofErr w:type="gramStart"/>
      <w:r w:rsidR="0025185B">
        <w:rPr>
          <w:rFonts w:ascii="Times New Roman" w:hAnsi="Times New Roman" w:cs="Times New Roman"/>
          <w:sz w:val="24"/>
          <w:szCs w:val="24"/>
        </w:rPr>
        <w:t>of</w:t>
      </w:r>
      <w:proofErr w:type="gramEnd"/>
      <w:r w:rsidR="0025185B">
        <w:rPr>
          <w:rFonts w:ascii="Times New Roman" w:hAnsi="Times New Roman" w:cs="Times New Roman"/>
          <w:sz w:val="24"/>
          <w:szCs w:val="24"/>
        </w:rPr>
        <w:t xml:space="preserve"> </w:t>
      </w:r>
      <w:r w:rsidR="00D87C77" w:rsidRPr="003A33CC">
        <w:rPr>
          <w:rFonts w:ascii="Times New Roman" w:hAnsi="Times New Roman" w:cs="Times New Roman"/>
          <w:sz w:val="24"/>
          <w:szCs w:val="24"/>
        </w:rPr>
        <w:t>policy</w:t>
      </w:r>
      <w:r w:rsidR="000D0A6C" w:rsidRPr="003A33CC">
        <w:rPr>
          <w:rFonts w:ascii="Times New Roman" w:hAnsi="Times New Roman" w:cs="Times New Roman"/>
          <w:sz w:val="24"/>
          <w:szCs w:val="24"/>
        </w:rPr>
        <w:t xml:space="preserve"> – </w:t>
      </w:r>
      <w:r w:rsidR="00BB2884">
        <w:rPr>
          <w:rFonts w:ascii="Times New Roman" w:hAnsi="Times New Roman" w:cs="Times New Roman"/>
          <w:sz w:val="24"/>
          <w:szCs w:val="24"/>
        </w:rPr>
        <w:t xml:space="preserve">teaching 1 course in addition to having the </w:t>
      </w:r>
      <w:r w:rsidR="000D0A6C" w:rsidRPr="003A33CC">
        <w:rPr>
          <w:rFonts w:ascii="Times New Roman" w:hAnsi="Times New Roman" w:cs="Times New Roman"/>
          <w:sz w:val="24"/>
          <w:szCs w:val="24"/>
        </w:rPr>
        <w:t>equivalent of three</w:t>
      </w:r>
      <w:r w:rsidR="00486E82" w:rsidRPr="003A33CC">
        <w:rPr>
          <w:rFonts w:ascii="Times New Roman" w:hAnsi="Times New Roman" w:cs="Times New Roman"/>
          <w:sz w:val="24"/>
          <w:szCs w:val="24"/>
        </w:rPr>
        <w:t xml:space="preserve"> classes of </w:t>
      </w:r>
      <w:r w:rsidR="00A56EB8">
        <w:rPr>
          <w:rFonts w:ascii="Times New Roman" w:hAnsi="Times New Roman" w:cs="Times New Roman"/>
          <w:sz w:val="24"/>
          <w:szCs w:val="24"/>
        </w:rPr>
        <w:t xml:space="preserve">external </w:t>
      </w:r>
      <w:r w:rsidR="00486E82" w:rsidRPr="003A33CC">
        <w:rPr>
          <w:rFonts w:ascii="Times New Roman" w:hAnsi="Times New Roman" w:cs="Times New Roman"/>
          <w:sz w:val="24"/>
          <w:szCs w:val="24"/>
        </w:rPr>
        <w:t>research</w:t>
      </w:r>
      <w:r w:rsidR="00A56EB8">
        <w:rPr>
          <w:rFonts w:ascii="Times New Roman" w:hAnsi="Times New Roman" w:cs="Times New Roman"/>
          <w:sz w:val="24"/>
          <w:szCs w:val="24"/>
        </w:rPr>
        <w:t xml:space="preserve"> grant</w:t>
      </w:r>
      <w:r w:rsidR="00486E82" w:rsidRPr="003A33CC">
        <w:rPr>
          <w:rFonts w:ascii="Times New Roman" w:hAnsi="Times New Roman" w:cs="Times New Roman"/>
          <w:sz w:val="24"/>
          <w:szCs w:val="24"/>
        </w:rPr>
        <w:t xml:space="preserve"> buyout</w:t>
      </w:r>
      <w:r w:rsidR="00BB2884">
        <w:rPr>
          <w:rFonts w:ascii="Times New Roman" w:hAnsi="Times New Roman" w:cs="Times New Roman"/>
          <w:sz w:val="24"/>
          <w:szCs w:val="24"/>
        </w:rPr>
        <w:t xml:space="preserve"> (on a previously approved four-course workload). </w:t>
      </w:r>
    </w:p>
    <w:p w14:paraId="52A35126" w14:textId="77777777" w:rsidR="00BB2884" w:rsidRDefault="00BB2884">
      <w:pPr>
        <w:rPr>
          <w:color w:val="FF0000"/>
        </w:rPr>
      </w:pPr>
    </w:p>
    <w:p w14:paraId="1250CF68" w14:textId="1348A797" w:rsidR="008569D8" w:rsidRPr="001E01AA" w:rsidRDefault="00BB2884">
      <w:pPr>
        <w:rPr>
          <w:rFonts w:ascii="Times New Roman" w:hAnsi="Times New Roman" w:cs="Times New Roman"/>
        </w:rPr>
      </w:pPr>
      <w:r w:rsidRPr="001E01AA">
        <w:rPr>
          <w:rFonts w:ascii="Times New Roman" w:hAnsi="Times New Roman" w:cs="Times New Roman"/>
        </w:rPr>
        <w:t xml:space="preserve">Excerpt 1: from COE TTF Professional Responsibilities Policy (2017) </w:t>
      </w:r>
      <w:hyperlink r:id="rId11" w:history="1">
        <w:r w:rsidR="00D92289" w:rsidRPr="001E01AA">
          <w:rPr>
            <w:rStyle w:val="Hyperlink"/>
            <w:rFonts w:ascii="Times New Roman" w:hAnsi="Times New Roman" w:cs="Times New Roman"/>
            <w:color w:val="auto"/>
          </w:rPr>
          <w:t>https://academicaffairs.uoregon.edu/files/coe_ttf_workload_final_06_15_17_mh_formatted_for_coe.pdf</w:t>
        </w:r>
      </w:hyperlink>
      <w:r w:rsidR="00D92289" w:rsidRPr="001E01AA">
        <w:rPr>
          <w:rFonts w:ascii="Times New Roman" w:hAnsi="Times New Roman" w:cs="Times New Roman"/>
        </w:rPr>
        <w:t xml:space="preserve"> </w:t>
      </w:r>
    </w:p>
    <w:p w14:paraId="680715D5" w14:textId="77777777" w:rsidR="00AA0D77" w:rsidRDefault="00AA0D77"/>
    <w:p w14:paraId="1FA73D72" w14:textId="39F664D0" w:rsidR="005A1AFA" w:rsidRDefault="005A1AFA">
      <w:pPr>
        <w:rPr>
          <w:rFonts w:ascii="Times New Roman" w:eastAsia="Times New Roman" w:hAnsi="Times New Roman" w:cs="Times New Roman"/>
          <w:b/>
          <w:bCs/>
          <w:color w:val="000000"/>
          <w:sz w:val="18"/>
          <w:szCs w:val="18"/>
        </w:rPr>
      </w:pPr>
      <w:r w:rsidRPr="005A1AFA">
        <w:rPr>
          <w:rFonts w:ascii="Times New Roman" w:eastAsia="Times New Roman" w:hAnsi="Times New Roman" w:cs="Times New Roman"/>
          <w:b/>
          <w:bCs/>
          <w:color w:val="000000"/>
          <w:sz w:val="18"/>
          <w:szCs w:val="18"/>
        </w:rPr>
        <w:t xml:space="preserve">Tenure Track Faculty Workload Policy </w:t>
      </w:r>
    </w:p>
    <w:p w14:paraId="3C8643AC" w14:textId="77777777" w:rsidR="005A1AFA" w:rsidRPr="005A1AFA" w:rsidRDefault="005A1AFA">
      <w:pPr>
        <w:rPr>
          <w:rFonts w:ascii="Times" w:eastAsia="Times New Roman" w:hAnsi="Times" w:cs="Times New Roman"/>
          <w:sz w:val="20"/>
          <w:szCs w:val="20"/>
        </w:rPr>
      </w:pPr>
    </w:p>
    <w:p w14:paraId="2CC6581B" w14:textId="5284222C" w:rsidR="005E0A6D" w:rsidRDefault="005E0A6D" w:rsidP="005E0A6D">
      <w:pPr>
        <w:pStyle w:val="s10"/>
        <w:spacing w:before="0" w:beforeAutospacing="0" w:after="0" w:afterAutospacing="0" w:line="216" w:lineRule="atLeast"/>
        <w:ind w:left="810" w:hanging="270"/>
        <w:rPr>
          <w:rFonts w:ascii="-webkit-standard" w:hAnsi="-webkit-standard" w:cs="Times New Roman" w:hint="eastAsia"/>
          <w:color w:val="000000"/>
          <w:sz w:val="18"/>
          <w:szCs w:val="18"/>
        </w:rPr>
      </w:pPr>
      <w:r>
        <w:rPr>
          <w:rStyle w:val="s2"/>
          <w:rFonts w:ascii="Times New Roman" w:hAnsi="Times New Roman" w:cs="Times New Roman"/>
          <w:b/>
          <w:bCs/>
          <w:color w:val="000000"/>
          <w:sz w:val="18"/>
          <w:szCs w:val="18"/>
        </w:rPr>
        <w:t>B.</w:t>
      </w:r>
      <w:r w:rsidR="00561135">
        <w:rPr>
          <w:rStyle w:val="s2"/>
          <w:rFonts w:ascii="Times New Roman" w:hAnsi="Times New Roman" w:cs="Times New Roman"/>
          <w:b/>
          <w:bCs/>
          <w:color w:val="000000"/>
          <w:sz w:val="18"/>
          <w:szCs w:val="18"/>
        </w:rPr>
        <w:t xml:space="preserve"> </w:t>
      </w:r>
      <w:r>
        <w:rPr>
          <w:rFonts w:ascii="-webkit-standard" w:hAnsi="-webkit-standard" w:cs="Times New Roman"/>
          <w:color w:val="000000"/>
          <w:sz w:val="18"/>
          <w:szCs w:val="18"/>
        </w:rPr>
        <w:t>​</w:t>
      </w:r>
      <w:r>
        <w:rPr>
          <w:rStyle w:val="s2"/>
          <w:rFonts w:ascii="Times New Roman" w:hAnsi="Times New Roman" w:cs="Times New Roman"/>
          <w:b/>
          <w:bCs/>
          <w:color w:val="000000"/>
          <w:sz w:val="18"/>
          <w:szCs w:val="18"/>
        </w:rPr>
        <w:t>Course load</w:t>
      </w:r>
    </w:p>
    <w:p w14:paraId="502EBC74" w14:textId="77777777" w:rsidR="005E0A6D" w:rsidRDefault="005E0A6D" w:rsidP="005E0A6D">
      <w:pPr>
        <w:pStyle w:val="s3"/>
        <w:spacing w:before="0" w:beforeAutospacing="0" w:after="0" w:afterAutospacing="0" w:line="216" w:lineRule="atLeast"/>
        <w:ind w:left="1080" w:hanging="1080"/>
        <w:rPr>
          <w:rFonts w:ascii="-webkit-standard" w:hAnsi="-webkit-standard" w:cs="Times New Roman" w:hint="eastAsia"/>
          <w:color w:val="000000"/>
          <w:sz w:val="18"/>
          <w:szCs w:val="18"/>
        </w:rPr>
      </w:pPr>
    </w:p>
    <w:p w14:paraId="2D44E4A6" w14:textId="4D1B6DE9" w:rsidR="005E0A6D" w:rsidRDefault="005E0A6D" w:rsidP="001A4EEC">
      <w:pPr>
        <w:pStyle w:val="s11"/>
        <w:spacing w:before="0" w:beforeAutospacing="0" w:after="0" w:afterAutospacing="0" w:line="216" w:lineRule="atLeast"/>
        <w:ind w:left="1080"/>
        <w:rPr>
          <w:rFonts w:ascii="-webkit-standard" w:hAnsi="-webkit-standard" w:cs="Times New Roman" w:hint="eastAsia"/>
          <w:color w:val="000000"/>
          <w:sz w:val="18"/>
          <w:szCs w:val="18"/>
        </w:rPr>
      </w:pPr>
      <w:r>
        <w:rPr>
          <w:rStyle w:val="s2"/>
          <w:rFonts w:ascii="Times New Roman" w:hAnsi="Times New Roman" w:cs="Times New Roman"/>
          <w:b/>
          <w:bCs/>
          <w:color w:val="000000"/>
          <w:sz w:val="18"/>
          <w:szCs w:val="18"/>
        </w:rPr>
        <w:t>1. Standard load.</w:t>
      </w:r>
      <w:r>
        <w:rPr>
          <w:rStyle w:val="apple-converted-space"/>
          <w:rFonts w:ascii="Times New Roman" w:hAnsi="Times New Roman" w:cs="Times New Roman"/>
          <w:i/>
          <w:iCs/>
          <w:color w:val="000000"/>
          <w:sz w:val="18"/>
          <w:szCs w:val="18"/>
        </w:rPr>
        <w:t> </w:t>
      </w:r>
      <w:r>
        <w:rPr>
          <w:rStyle w:val="s8"/>
          <w:rFonts w:ascii="Times New Roman" w:hAnsi="Times New Roman" w:cs="Times New Roman"/>
          <w:color w:val="000000"/>
          <w:sz w:val="18"/>
          <w:szCs w:val="18"/>
        </w:rPr>
        <w:t>The standard teaching load for 1.0 full-time equivalent (FTE) faculty who are not taking a leadership role in external funding is 5 courses.</w:t>
      </w:r>
      <w:r>
        <w:rPr>
          <w:rStyle w:val="apple-converted-space"/>
          <w:rFonts w:ascii="Times New Roman" w:hAnsi="Times New Roman" w:cs="Times New Roman"/>
          <w:color w:val="000000"/>
          <w:sz w:val="18"/>
          <w:szCs w:val="18"/>
        </w:rPr>
        <w:t> </w:t>
      </w:r>
      <w:r>
        <w:rPr>
          <w:rStyle w:val="s8"/>
          <w:rFonts w:ascii="Times New Roman" w:hAnsi="Times New Roman" w:cs="Times New Roman"/>
          <w:color w:val="000000"/>
          <w:sz w:val="18"/>
          <w:szCs w:val="18"/>
        </w:rPr>
        <w:t>Courses must be at least three course credits (15-credit minimum).  All</w:t>
      </w:r>
      <w:r>
        <w:rPr>
          <w:rStyle w:val="apple-converted-space"/>
          <w:rFonts w:ascii="Times New Roman" w:hAnsi="Times New Roman" w:cs="Times New Roman"/>
          <w:color w:val="000000"/>
          <w:sz w:val="18"/>
          <w:szCs w:val="18"/>
        </w:rPr>
        <w:t> </w:t>
      </w:r>
      <w:r>
        <w:rPr>
          <w:rStyle w:val="s8"/>
          <w:rFonts w:ascii="Times New Roman" w:hAnsi="Times New Roman" w:cs="Times New Roman"/>
          <w:color w:val="000000"/>
          <w:sz w:val="18"/>
          <w:szCs w:val="18"/>
        </w:rPr>
        <w:t>faculty</w:t>
      </w:r>
      <w:r>
        <w:rPr>
          <w:rStyle w:val="apple-converted-space"/>
          <w:rFonts w:ascii="Times New Roman" w:hAnsi="Times New Roman" w:cs="Times New Roman"/>
          <w:color w:val="000000"/>
          <w:sz w:val="18"/>
          <w:szCs w:val="18"/>
        </w:rPr>
        <w:t> </w:t>
      </w:r>
      <w:r>
        <w:rPr>
          <w:rStyle w:val="s8"/>
          <w:rFonts w:ascii="Times New Roman" w:hAnsi="Times New Roman" w:cs="Times New Roman"/>
          <w:color w:val="000000"/>
          <w:sz w:val="18"/>
          <w:szCs w:val="18"/>
        </w:rPr>
        <w:t>are eligible for a four-course load</w:t>
      </w:r>
      <w:r>
        <w:rPr>
          <w:rStyle w:val="apple-converted-space"/>
          <w:rFonts w:ascii="Times New Roman" w:hAnsi="Times New Roman" w:cs="Times New Roman"/>
          <w:color w:val="000000"/>
          <w:sz w:val="18"/>
          <w:szCs w:val="18"/>
        </w:rPr>
        <w:t> </w:t>
      </w:r>
      <w:r>
        <w:rPr>
          <w:rStyle w:val="s8"/>
          <w:rFonts w:ascii="Times New Roman" w:hAnsi="Times New Roman" w:cs="Times New Roman"/>
          <w:color w:val="000000"/>
          <w:sz w:val="18"/>
          <w:szCs w:val="18"/>
        </w:rPr>
        <w:t>(12-credit minimum)</w:t>
      </w:r>
      <w:r>
        <w:rPr>
          <w:rStyle w:val="apple-converted-space"/>
          <w:rFonts w:ascii="Times New Roman" w:hAnsi="Times New Roman" w:cs="Times New Roman"/>
          <w:color w:val="000000"/>
          <w:sz w:val="18"/>
          <w:szCs w:val="18"/>
        </w:rPr>
        <w:t> </w:t>
      </w:r>
      <w:r>
        <w:rPr>
          <w:rStyle w:val="s8"/>
          <w:rFonts w:ascii="Times New Roman" w:hAnsi="Times New Roman" w:cs="Times New Roman"/>
          <w:color w:val="000000"/>
          <w:sz w:val="18"/>
          <w:szCs w:val="18"/>
        </w:rPr>
        <w:t>with the approval of the department head.  To be eligible, faculty must take a</w:t>
      </w:r>
      <w:r>
        <w:rPr>
          <w:rStyle w:val="apple-converted-space"/>
          <w:rFonts w:ascii="Times New Roman" w:hAnsi="Times New Roman" w:cs="Times New Roman"/>
          <w:color w:val="000000"/>
          <w:sz w:val="18"/>
          <w:szCs w:val="18"/>
        </w:rPr>
        <w:t> </w:t>
      </w:r>
      <w:r>
        <w:rPr>
          <w:rStyle w:val="s8"/>
          <w:rFonts w:ascii="Times New Roman" w:hAnsi="Times New Roman" w:cs="Times New Roman"/>
          <w:color w:val="000000"/>
          <w:sz w:val="18"/>
          <w:szCs w:val="18"/>
        </w:rPr>
        <w:t>leadership role (e.g., principal investigator, co-investigator) in directing or applying for major competitive external funding for research, instruction, or service. External funding must include support for any required personnel and research infrastructure at the University of Oregon.</w:t>
      </w:r>
      <w:r>
        <w:rPr>
          <w:rStyle w:val="apple-converted-space"/>
          <w:rFonts w:ascii="Times New Roman" w:hAnsi="Times New Roman" w:cs="Times New Roman"/>
          <w:color w:val="000000"/>
          <w:sz w:val="18"/>
          <w:szCs w:val="18"/>
        </w:rPr>
        <w:t> </w:t>
      </w:r>
      <w:r>
        <w:rPr>
          <w:rStyle w:val="s8"/>
          <w:rFonts w:ascii="Times New Roman" w:hAnsi="Times New Roman" w:cs="Times New Roman"/>
          <w:color w:val="000000"/>
          <w:sz w:val="18"/>
          <w:szCs w:val="18"/>
        </w:rPr>
        <w:t> Upon recommendation of the department head, and with approval of the dean, faculty may also</w:t>
      </w:r>
      <w:r>
        <w:rPr>
          <w:rStyle w:val="apple-converted-space"/>
          <w:rFonts w:ascii="Times New Roman" w:hAnsi="Times New Roman" w:cs="Times New Roman"/>
          <w:color w:val="000000"/>
          <w:sz w:val="18"/>
          <w:szCs w:val="18"/>
        </w:rPr>
        <w:t> </w:t>
      </w:r>
      <w:r>
        <w:rPr>
          <w:rStyle w:val="s8"/>
          <w:rFonts w:ascii="Times New Roman" w:hAnsi="Times New Roman" w:cs="Times New Roman"/>
          <w:color w:val="000000"/>
          <w:sz w:val="18"/>
          <w:szCs w:val="18"/>
        </w:rPr>
        <w:t>be</w:t>
      </w:r>
      <w:r>
        <w:rPr>
          <w:rStyle w:val="apple-converted-space"/>
          <w:rFonts w:ascii="Times New Roman" w:hAnsi="Times New Roman" w:cs="Times New Roman"/>
          <w:color w:val="000000"/>
          <w:sz w:val="18"/>
          <w:szCs w:val="18"/>
        </w:rPr>
        <w:t> </w:t>
      </w:r>
      <w:r>
        <w:rPr>
          <w:rStyle w:val="s8"/>
          <w:rFonts w:ascii="Times New Roman" w:hAnsi="Times New Roman" w:cs="Times New Roman"/>
          <w:color w:val="000000"/>
          <w:sz w:val="18"/>
          <w:szCs w:val="18"/>
        </w:rPr>
        <w:t>eligible for a four-course load for one academic year to complete a major scholarly book.</w:t>
      </w:r>
    </w:p>
    <w:p w14:paraId="47047604" w14:textId="77777777" w:rsidR="005E0A6D" w:rsidRDefault="005E0A6D" w:rsidP="005E0A6D">
      <w:pPr>
        <w:pStyle w:val="s11"/>
        <w:spacing w:before="0" w:beforeAutospacing="0" w:after="0" w:afterAutospacing="0" w:line="216" w:lineRule="atLeast"/>
        <w:ind w:left="1080"/>
        <w:rPr>
          <w:rFonts w:ascii="-webkit-standard" w:hAnsi="-webkit-standard" w:cs="Times New Roman" w:hint="eastAsia"/>
          <w:color w:val="000000"/>
          <w:sz w:val="18"/>
          <w:szCs w:val="18"/>
        </w:rPr>
      </w:pPr>
      <w:r>
        <w:rPr>
          <w:rFonts w:ascii="-webkit-standard" w:hAnsi="-webkit-standard" w:cs="Times New Roman"/>
          <w:color w:val="000000"/>
          <w:sz w:val="18"/>
          <w:szCs w:val="18"/>
        </w:rPr>
        <w:t> </w:t>
      </w:r>
    </w:p>
    <w:p w14:paraId="11305CC2" w14:textId="77777777" w:rsidR="005E0A6D" w:rsidRDefault="005E0A6D" w:rsidP="005E0A6D">
      <w:pPr>
        <w:pStyle w:val="s11"/>
        <w:spacing w:before="0" w:beforeAutospacing="0" w:after="0" w:afterAutospacing="0" w:line="216" w:lineRule="atLeast"/>
        <w:ind w:left="1080"/>
        <w:rPr>
          <w:rFonts w:ascii="-webkit-standard" w:hAnsi="-webkit-standard" w:cs="Times New Roman" w:hint="eastAsia"/>
          <w:color w:val="000000"/>
          <w:sz w:val="18"/>
          <w:szCs w:val="18"/>
        </w:rPr>
      </w:pPr>
      <w:r>
        <w:rPr>
          <w:rStyle w:val="s8"/>
          <w:rFonts w:ascii="Times New Roman" w:hAnsi="Times New Roman" w:cs="Times New Roman"/>
          <w:color w:val="000000"/>
          <w:sz w:val="18"/>
          <w:szCs w:val="18"/>
        </w:rPr>
        <w:t>One course in the four-course load or in the five-course load may be a combination of 1- and 2-credit courses to equal at least 3-credits in total.</w:t>
      </w:r>
    </w:p>
    <w:p w14:paraId="07634823" w14:textId="77777777" w:rsidR="005E0A6D" w:rsidRDefault="005E0A6D" w:rsidP="005E0A6D">
      <w:pPr>
        <w:pStyle w:val="s11"/>
        <w:spacing w:before="0" w:beforeAutospacing="0" w:after="0" w:afterAutospacing="0" w:line="216" w:lineRule="atLeast"/>
        <w:ind w:left="1080"/>
        <w:rPr>
          <w:rFonts w:ascii="-webkit-standard" w:hAnsi="-webkit-standard" w:cs="Times New Roman" w:hint="eastAsia"/>
          <w:color w:val="000000"/>
          <w:sz w:val="18"/>
          <w:szCs w:val="18"/>
        </w:rPr>
      </w:pPr>
      <w:r>
        <w:rPr>
          <w:rFonts w:ascii="-webkit-standard" w:hAnsi="-webkit-standard" w:cs="Times New Roman"/>
          <w:color w:val="000000"/>
          <w:sz w:val="18"/>
          <w:szCs w:val="18"/>
        </w:rPr>
        <w:t> </w:t>
      </w:r>
    </w:p>
    <w:p w14:paraId="06D30909" w14:textId="77777777" w:rsidR="005E0A6D" w:rsidRDefault="005E0A6D" w:rsidP="005E0A6D">
      <w:pPr>
        <w:pStyle w:val="s11"/>
        <w:spacing w:before="0" w:beforeAutospacing="0" w:after="0" w:afterAutospacing="0" w:line="216" w:lineRule="atLeast"/>
        <w:ind w:left="1080"/>
        <w:rPr>
          <w:rFonts w:ascii="-webkit-standard" w:hAnsi="-webkit-standard" w:cs="Times New Roman" w:hint="eastAsia"/>
          <w:color w:val="000000"/>
          <w:sz w:val="18"/>
          <w:szCs w:val="18"/>
        </w:rPr>
      </w:pPr>
      <w:r>
        <w:rPr>
          <w:rStyle w:val="s8"/>
          <w:rFonts w:ascii="Times New Roman" w:hAnsi="Times New Roman" w:cs="Times New Roman"/>
          <w:color w:val="000000"/>
          <w:sz w:val="18"/>
          <w:szCs w:val="18"/>
        </w:rPr>
        <w:t>Additional course load reductions may be assigned to allow faculty to carry out administrative responsibilities or substantial service contributions (See Course Release Policy), and course buyout may be approved for faculty receiving an external funding award (See Course Buyout Policy).</w:t>
      </w:r>
      <w:r>
        <w:rPr>
          <w:rStyle w:val="apple-converted-space"/>
          <w:rFonts w:ascii="Times New Roman" w:hAnsi="Times New Roman" w:cs="Times New Roman"/>
          <w:color w:val="000000"/>
          <w:sz w:val="18"/>
          <w:szCs w:val="18"/>
        </w:rPr>
        <w:t> </w:t>
      </w:r>
      <w:r>
        <w:rPr>
          <w:rStyle w:val="s8"/>
          <w:rFonts w:ascii="Times New Roman" w:hAnsi="Times New Roman" w:cs="Times New Roman"/>
          <w:color w:val="000000"/>
          <w:sz w:val="18"/>
          <w:szCs w:val="18"/>
        </w:rPr>
        <w:t> At a minimum, faculty must teach at least 1 course (3 course credits minimum) each academic year.</w:t>
      </w:r>
    </w:p>
    <w:p w14:paraId="690E5916" w14:textId="77777777" w:rsidR="005E0A6D" w:rsidRDefault="005E0A6D" w:rsidP="005E0A6D">
      <w:pPr>
        <w:pStyle w:val="s11"/>
        <w:spacing w:before="0" w:beforeAutospacing="0" w:after="0" w:afterAutospacing="0" w:line="216" w:lineRule="atLeast"/>
        <w:ind w:left="1080"/>
        <w:rPr>
          <w:rFonts w:ascii="-webkit-standard" w:hAnsi="-webkit-standard" w:cs="Times New Roman" w:hint="eastAsia"/>
          <w:color w:val="000000"/>
          <w:sz w:val="18"/>
          <w:szCs w:val="18"/>
        </w:rPr>
      </w:pPr>
      <w:r>
        <w:rPr>
          <w:rFonts w:ascii="-webkit-standard" w:hAnsi="-webkit-standard" w:cs="Times New Roman"/>
          <w:color w:val="000000"/>
          <w:sz w:val="18"/>
          <w:szCs w:val="18"/>
        </w:rPr>
        <w:lastRenderedPageBreak/>
        <w:t> </w:t>
      </w:r>
    </w:p>
    <w:p w14:paraId="667C9162" w14:textId="77777777" w:rsidR="005E0A6D" w:rsidRDefault="005E0A6D" w:rsidP="005E0A6D">
      <w:pPr>
        <w:pStyle w:val="s11"/>
        <w:spacing w:before="0" w:beforeAutospacing="0" w:after="0" w:afterAutospacing="0" w:line="216" w:lineRule="atLeast"/>
        <w:ind w:left="1080"/>
        <w:rPr>
          <w:rFonts w:ascii="-webkit-standard" w:hAnsi="-webkit-standard" w:cs="Times New Roman" w:hint="eastAsia"/>
          <w:color w:val="000000"/>
          <w:sz w:val="18"/>
          <w:szCs w:val="18"/>
        </w:rPr>
      </w:pPr>
      <w:r>
        <w:rPr>
          <w:rStyle w:val="s2"/>
          <w:rFonts w:ascii="Times New Roman" w:hAnsi="Times New Roman" w:cs="Times New Roman"/>
          <w:b/>
          <w:bCs/>
          <w:color w:val="000000"/>
          <w:sz w:val="18"/>
          <w:szCs w:val="18"/>
        </w:rPr>
        <w:t>2. Course revision.</w:t>
      </w:r>
      <w:r>
        <w:rPr>
          <w:rStyle w:val="apple-converted-space"/>
          <w:rFonts w:ascii="Times New Roman" w:hAnsi="Times New Roman" w:cs="Times New Roman"/>
          <w:color w:val="000000"/>
          <w:sz w:val="18"/>
          <w:szCs w:val="18"/>
        </w:rPr>
        <w:t> </w:t>
      </w:r>
      <w:r>
        <w:rPr>
          <w:rStyle w:val="s8"/>
          <w:rFonts w:ascii="Times New Roman" w:hAnsi="Times New Roman" w:cs="Times New Roman"/>
          <w:color w:val="000000"/>
          <w:sz w:val="18"/>
          <w:szCs w:val="18"/>
        </w:rPr>
        <w:t>TTF are expected to revise their</w:t>
      </w:r>
      <w:r>
        <w:rPr>
          <w:rStyle w:val="apple-converted-space"/>
          <w:rFonts w:ascii="Times New Roman" w:hAnsi="Times New Roman" w:cs="Times New Roman"/>
          <w:color w:val="000000"/>
          <w:sz w:val="18"/>
          <w:szCs w:val="18"/>
        </w:rPr>
        <w:t> </w:t>
      </w:r>
      <w:r>
        <w:rPr>
          <w:rStyle w:val="s8"/>
          <w:rFonts w:ascii="Times New Roman" w:hAnsi="Times New Roman" w:cs="Times New Roman"/>
          <w:color w:val="000000"/>
          <w:sz w:val="18"/>
          <w:szCs w:val="18"/>
        </w:rPr>
        <w:t>courses</w:t>
      </w:r>
      <w:r>
        <w:rPr>
          <w:rStyle w:val="apple-converted-space"/>
          <w:rFonts w:ascii="Times New Roman" w:hAnsi="Times New Roman" w:cs="Times New Roman"/>
          <w:color w:val="000000"/>
          <w:sz w:val="18"/>
          <w:szCs w:val="18"/>
        </w:rPr>
        <w:t> </w:t>
      </w:r>
      <w:r>
        <w:rPr>
          <w:rStyle w:val="s8"/>
          <w:rFonts w:ascii="Times New Roman" w:hAnsi="Times New Roman" w:cs="Times New Roman"/>
          <w:color w:val="000000"/>
          <w:sz w:val="18"/>
          <w:szCs w:val="18"/>
        </w:rPr>
        <w:t>as needed to incorporate advances in academic content and pedagogy, and to ensure that their courses continue to promote the learning outcomes of the departments and programs of which they are a part.</w:t>
      </w:r>
    </w:p>
    <w:p w14:paraId="53E2481F" w14:textId="77777777" w:rsidR="005E0A6D" w:rsidRDefault="005E0A6D" w:rsidP="005E0A6D">
      <w:pPr>
        <w:pStyle w:val="s11"/>
        <w:spacing w:before="0" w:beforeAutospacing="0" w:after="0" w:afterAutospacing="0" w:line="216" w:lineRule="atLeast"/>
        <w:ind w:left="1080"/>
        <w:rPr>
          <w:rFonts w:ascii="-webkit-standard" w:hAnsi="-webkit-standard" w:cs="Times New Roman" w:hint="eastAsia"/>
          <w:color w:val="000000"/>
          <w:sz w:val="18"/>
          <w:szCs w:val="18"/>
        </w:rPr>
      </w:pPr>
      <w:r>
        <w:rPr>
          <w:rFonts w:ascii="-webkit-standard" w:hAnsi="-webkit-standard" w:cs="Times New Roman"/>
          <w:color w:val="000000"/>
          <w:sz w:val="18"/>
          <w:szCs w:val="18"/>
        </w:rPr>
        <w:t> </w:t>
      </w:r>
    </w:p>
    <w:p w14:paraId="2AF5C034" w14:textId="77777777" w:rsidR="005E0A6D" w:rsidRDefault="005E0A6D" w:rsidP="005E0A6D">
      <w:pPr>
        <w:pStyle w:val="s11"/>
        <w:spacing w:before="0" w:beforeAutospacing="0" w:after="0" w:afterAutospacing="0" w:line="216" w:lineRule="atLeast"/>
        <w:ind w:left="1080"/>
        <w:rPr>
          <w:rFonts w:ascii="-webkit-standard" w:hAnsi="-webkit-standard" w:cs="Times New Roman" w:hint="eastAsia"/>
          <w:color w:val="000000"/>
          <w:sz w:val="18"/>
          <w:szCs w:val="18"/>
        </w:rPr>
      </w:pPr>
      <w:r>
        <w:rPr>
          <w:rStyle w:val="s2"/>
          <w:rFonts w:ascii="Times New Roman" w:hAnsi="Times New Roman" w:cs="Times New Roman"/>
          <w:b/>
          <w:bCs/>
          <w:color w:val="000000"/>
          <w:sz w:val="18"/>
          <w:szCs w:val="18"/>
        </w:rPr>
        <w:t>3. Independent study courses.</w:t>
      </w:r>
      <w:r>
        <w:rPr>
          <w:rStyle w:val="apple-converted-space"/>
          <w:rFonts w:ascii="Times New Roman" w:hAnsi="Times New Roman" w:cs="Times New Roman"/>
          <w:b/>
          <w:bCs/>
          <w:i/>
          <w:iCs/>
          <w:color w:val="000000"/>
          <w:sz w:val="18"/>
          <w:szCs w:val="18"/>
        </w:rPr>
        <w:t> </w:t>
      </w:r>
      <w:r>
        <w:rPr>
          <w:rStyle w:val="s8"/>
          <w:rFonts w:ascii="Times New Roman" w:hAnsi="Times New Roman" w:cs="Times New Roman"/>
          <w:color w:val="000000"/>
          <w:sz w:val="18"/>
          <w:szCs w:val="18"/>
        </w:rPr>
        <w:t>In addition to the standard</w:t>
      </w:r>
      <w:r>
        <w:rPr>
          <w:rStyle w:val="apple-converted-space"/>
          <w:rFonts w:ascii="Times New Roman" w:hAnsi="Times New Roman" w:cs="Times New Roman"/>
          <w:color w:val="000000"/>
          <w:sz w:val="18"/>
          <w:szCs w:val="18"/>
        </w:rPr>
        <w:t> </w:t>
      </w:r>
      <w:r>
        <w:rPr>
          <w:rStyle w:val="s8"/>
          <w:rFonts w:ascii="Times New Roman" w:hAnsi="Times New Roman" w:cs="Times New Roman"/>
          <w:color w:val="000000"/>
          <w:sz w:val="18"/>
          <w:szCs w:val="18"/>
        </w:rPr>
        <w:t>teaching load, TTF</w:t>
      </w:r>
      <w:r>
        <w:rPr>
          <w:rStyle w:val="apple-converted-space"/>
          <w:rFonts w:ascii="Times New Roman" w:hAnsi="Times New Roman" w:cs="Times New Roman"/>
          <w:color w:val="000000"/>
          <w:sz w:val="18"/>
          <w:szCs w:val="18"/>
        </w:rPr>
        <w:t> </w:t>
      </w:r>
      <w:r>
        <w:rPr>
          <w:rStyle w:val="s8"/>
          <w:rFonts w:ascii="Times New Roman" w:hAnsi="Times New Roman" w:cs="Times New Roman"/>
          <w:color w:val="000000"/>
          <w:sz w:val="18"/>
          <w:szCs w:val="18"/>
        </w:rPr>
        <w:t>frequently supervise students, both graduate and undergraduate, in independent study courses.</w:t>
      </w:r>
      <w:r>
        <w:rPr>
          <w:rStyle w:val="apple-converted-space"/>
          <w:rFonts w:ascii="Times New Roman" w:hAnsi="Times New Roman" w:cs="Times New Roman"/>
          <w:color w:val="000000"/>
          <w:sz w:val="18"/>
          <w:szCs w:val="18"/>
        </w:rPr>
        <w:t> </w:t>
      </w:r>
      <w:r>
        <w:rPr>
          <w:rStyle w:val="s8"/>
          <w:rFonts w:ascii="Times New Roman" w:hAnsi="Times New Roman" w:cs="Times New Roman"/>
          <w:color w:val="000000"/>
          <w:sz w:val="18"/>
          <w:szCs w:val="18"/>
        </w:rPr>
        <w:t>In these courses, faculty members are expected to maintain standards of student work and student-instructor engagement appropriate to the awarding of academic credit. The standard teaching load does not typically include infrequent or time-limited teaching activities such as guest lecturing or occasional independent study courses, except as described in section B.1.</w:t>
      </w:r>
      <w:r>
        <w:rPr>
          <w:rStyle w:val="apple-converted-space"/>
          <w:rFonts w:ascii="Times New Roman" w:hAnsi="Times New Roman" w:cs="Times New Roman"/>
          <w:color w:val="000000"/>
          <w:sz w:val="18"/>
          <w:szCs w:val="18"/>
        </w:rPr>
        <w:t> </w:t>
      </w:r>
      <w:proofErr w:type="gramStart"/>
      <w:r>
        <w:rPr>
          <w:rStyle w:val="s8"/>
          <w:rFonts w:ascii="Times New Roman" w:hAnsi="Times New Roman" w:cs="Times New Roman"/>
          <w:color w:val="000000"/>
          <w:sz w:val="18"/>
          <w:szCs w:val="18"/>
        </w:rPr>
        <w:t>above</w:t>
      </w:r>
      <w:proofErr w:type="gramEnd"/>
      <w:r>
        <w:rPr>
          <w:rStyle w:val="s8"/>
          <w:rFonts w:ascii="Times New Roman" w:hAnsi="Times New Roman" w:cs="Times New Roman"/>
          <w:color w:val="000000"/>
          <w:sz w:val="18"/>
          <w:szCs w:val="18"/>
        </w:rPr>
        <w:t>.</w:t>
      </w:r>
    </w:p>
    <w:p w14:paraId="30DB56CB" w14:textId="77777777" w:rsidR="005E0A6D" w:rsidRDefault="005E0A6D" w:rsidP="005E0A6D">
      <w:pPr>
        <w:pStyle w:val="NormalWeb"/>
        <w:spacing w:before="0" w:beforeAutospacing="0" w:after="0" w:afterAutospacing="0" w:line="216" w:lineRule="atLeast"/>
        <w:rPr>
          <w:rFonts w:ascii="-webkit-standard" w:hAnsi="-webkit-standard" w:hint="eastAsia"/>
          <w:color w:val="000000"/>
          <w:sz w:val="18"/>
          <w:szCs w:val="18"/>
        </w:rPr>
      </w:pPr>
      <w:r>
        <w:rPr>
          <w:rFonts w:ascii="-webkit-standard" w:hAnsi="-webkit-standard"/>
          <w:color w:val="000000"/>
          <w:sz w:val="18"/>
          <w:szCs w:val="18"/>
        </w:rPr>
        <w:t> </w:t>
      </w:r>
    </w:p>
    <w:p w14:paraId="699D83A8" w14:textId="77777777" w:rsidR="005E0A6D" w:rsidRDefault="005E0A6D" w:rsidP="005E0A6D">
      <w:pPr>
        <w:pStyle w:val="s11"/>
        <w:spacing w:before="0" w:beforeAutospacing="0" w:after="0" w:afterAutospacing="0" w:line="216" w:lineRule="atLeast"/>
        <w:ind w:left="1080"/>
        <w:rPr>
          <w:rFonts w:ascii="-webkit-standard" w:hAnsi="-webkit-standard" w:cs="Times New Roman" w:hint="eastAsia"/>
          <w:color w:val="000000"/>
          <w:sz w:val="18"/>
          <w:szCs w:val="18"/>
        </w:rPr>
      </w:pPr>
      <w:r>
        <w:rPr>
          <w:rStyle w:val="s2"/>
          <w:rFonts w:ascii="Times New Roman" w:hAnsi="Times New Roman" w:cs="Times New Roman"/>
          <w:b/>
          <w:bCs/>
          <w:color w:val="000000"/>
          <w:sz w:val="18"/>
          <w:szCs w:val="18"/>
        </w:rPr>
        <w:t>4. Course load reduction.</w:t>
      </w:r>
      <w:r>
        <w:rPr>
          <w:rStyle w:val="apple-converted-space"/>
          <w:rFonts w:ascii="Times New Roman" w:hAnsi="Times New Roman" w:cs="Times New Roman"/>
          <w:b/>
          <w:bCs/>
          <w:i/>
          <w:iCs/>
          <w:color w:val="000000"/>
          <w:sz w:val="18"/>
          <w:szCs w:val="18"/>
        </w:rPr>
        <w:t> </w:t>
      </w:r>
      <w:r>
        <w:rPr>
          <w:rStyle w:val="s8"/>
          <w:rFonts w:ascii="Times New Roman" w:hAnsi="Times New Roman" w:cs="Times New Roman"/>
          <w:color w:val="000000"/>
          <w:sz w:val="18"/>
          <w:szCs w:val="18"/>
        </w:rPr>
        <w:t>These policies are described in section IV below.</w:t>
      </w:r>
    </w:p>
    <w:p w14:paraId="5AD0C309" w14:textId="77777777" w:rsidR="005E0A6D" w:rsidRDefault="005E0A6D" w:rsidP="005E0A6D">
      <w:pPr>
        <w:pStyle w:val="s11"/>
        <w:spacing w:before="0" w:beforeAutospacing="0" w:after="0" w:afterAutospacing="0" w:line="216" w:lineRule="atLeast"/>
        <w:ind w:left="1080"/>
        <w:rPr>
          <w:rFonts w:ascii="-webkit-standard" w:hAnsi="-webkit-standard" w:cs="Times New Roman" w:hint="eastAsia"/>
          <w:color w:val="000000"/>
          <w:sz w:val="18"/>
          <w:szCs w:val="18"/>
        </w:rPr>
      </w:pPr>
      <w:r>
        <w:rPr>
          <w:rFonts w:ascii="-webkit-standard" w:hAnsi="-webkit-standard" w:cs="Times New Roman"/>
          <w:color w:val="000000"/>
          <w:sz w:val="18"/>
          <w:szCs w:val="18"/>
        </w:rPr>
        <w:t> </w:t>
      </w:r>
    </w:p>
    <w:p w14:paraId="15D7058A" w14:textId="77777777" w:rsidR="005E0A6D" w:rsidRDefault="005E0A6D" w:rsidP="005E0A6D">
      <w:pPr>
        <w:pStyle w:val="s11"/>
        <w:spacing w:before="0" w:beforeAutospacing="0" w:after="0" w:afterAutospacing="0" w:line="216" w:lineRule="atLeast"/>
        <w:ind w:left="1080"/>
        <w:rPr>
          <w:rFonts w:ascii="-webkit-standard" w:hAnsi="-webkit-standard" w:cs="Times New Roman" w:hint="eastAsia"/>
          <w:color w:val="000000"/>
          <w:sz w:val="18"/>
          <w:szCs w:val="18"/>
        </w:rPr>
      </w:pPr>
      <w:r>
        <w:rPr>
          <w:rStyle w:val="s2"/>
          <w:rFonts w:ascii="Times New Roman" w:hAnsi="Times New Roman" w:cs="Times New Roman"/>
          <w:b/>
          <w:bCs/>
          <w:color w:val="000000"/>
          <w:sz w:val="18"/>
          <w:szCs w:val="18"/>
        </w:rPr>
        <w:t>5. Team-teaching.</w:t>
      </w:r>
      <w:r>
        <w:rPr>
          <w:rStyle w:val="apple-converted-space"/>
          <w:rFonts w:ascii="Times New Roman" w:hAnsi="Times New Roman" w:cs="Times New Roman"/>
          <w:b/>
          <w:bCs/>
          <w:color w:val="000000"/>
          <w:sz w:val="18"/>
          <w:szCs w:val="18"/>
        </w:rPr>
        <w:t> </w:t>
      </w:r>
      <w:r>
        <w:rPr>
          <w:rStyle w:val="s8"/>
          <w:rFonts w:ascii="Times New Roman" w:hAnsi="Times New Roman" w:cs="Times New Roman"/>
          <w:color w:val="000000"/>
          <w:sz w:val="18"/>
          <w:szCs w:val="18"/>
        </w:rPr>
        <w:t>A course that is team taught by two faculty members will typically count as half a course for each unless both contribute nearly full effort as part of a special educational opportunity for students.</w:t>
      </w:r>
      <w:r>
        <w:rPr>
          <w:rStyle w:val="apple-converted-space"/>
          <w:rFonts w:ascii="Times New Roman" w:hAnsi="Times New Roman" w:cs="Times New Roman"/>
          <w:color w:val="000000"/>
          <w:sz w:val="18"/>
          <w:szCs w:val="18"/>
        </w:rPr>
        <w:t> </w:t>
      </w:r>
      <w:r>
        <w:rPr>
          <w:rStyle w:val="s8"/>
          <w:rFonts w:ascii="Times New Roman" w:hAnsi="Times New Roman" w:cs="Times New Roman"/>
          <w:color w:val="000000"/>
          <w:sz w:val="18"/>
          <w:szCs w:val="18"/>
        </w:rPr>
        <w:t>In the latter case, a team-taught course may count as a full course for each faculty member with the approval of the Department Head, and assuming the unit can meet its curricular and enrollment needs with existing resources.</w:t>
      </w:r>
      <w:r>
        <w:rPr>
          <w:rStyle w:val="apple-converted-space"/>
          <w:rFonts w:ascii="Times New Roman" w:hAnsi="Times New Roman" w:cs="Times New Roman"/>
          <w:color w:val="000000"/>
          <w:sz w:val="18"/>
          <w:szCs w:val="18"/>
        </w:rPr>
        <w:t> </w:t>
      </w:r>
    </w:p>
    <w:p w14:paraId="74FC4DBB" w14:textId="77777777" w:rsidR="005E0A6D" w:rsidRDefault="005E0A6D" w:rsidP="005E0A6D">
      <w:pPr>
        <w:pStyle w:val="s11"/>
        <w:spacing w:before="0" w:beforeAutospacing="0" w:after="0" w:afterAutospacing="0" w:line="216" w:lineRule="atLeast"/>
        <w:ind w:left="1080"/>
        <w:rPr>
          <w:rFonts w:ascii="-webkit-standard" w:hAnsi="-webkit-standard" w:cs="Times New Roman" w:hint="eastAsia"/>
          <w:color w:val="000000"/>
          <w:sz w:val="18"/>
          <w:szCs w:val="18"/>
        </w:rPr>
      </w:pPr>
    </w:p>
    <w:p w14:paraId="0E3EED88" w14:textId="77777777" w:rsidR="005E0A6D" w:rsidRPr="00982F7B" w:rsidRDefault="005E0A6D" w:rsidP="005E0A6D">
      <w:pPr>
        <w:pStyle w:val="s11"/>
        <w:spacing w:before="0" w:beforeAutospacing="0" w:after="0" w:afterAutospacing="0" w:line="216" w:lineRule="atLeast"/>
        <w:ind w:left="1080"/>
        <w:rPr>
          <w:rFonts w:ascii="Times New Roman" w:hAnsi="Times New Roman" w:cs="Times New Roman"/>
          <w:color w:val="000000"/>
          <w:sz w:val="18"/>
          <w:szCs w:val="18"/>
        </w:rPr>
      </w:pPr>
      <w:r w:rsidRPr="00982F7B">
        <w:rPr>
          <w:rStyle w:val="s15"/>
          <w:rFonts w:ascii="Times New Roman" w:hAnsi="Times New Roman" w:cs="Times New Roman"/>
          <w:b/>
          <w:bCs/>
          <w:color w:val="000000"/>
          <w:sz w:val="18"/>
          <w:szCs w:val="18"/>
        </w:rPr>
        <w:t>6.</w:t>
      </w:r>
      <w:r w:rsidRPr="00982F7B">
        <w:rPr>
          <w:rStyle w:val="apple-converted-space"/>
          <w:rFonts w:ascii="Times New Roman" w:hAnsi="Times New Roman" w:cs="Times New Roman"/>
          <w:b/>
          <w:bCs/>
          <w:color w:val="000000"/>
          <w:sz w:val="18"/>
          <w:szCs w:val="18"/>
        </w:rPr>
        <w:t> </w:t>
      </w:r>
      <w:r w:rsidRPr="00982F7B">
        <w:rPr>
          <w:rStyle w:val="s15"/>
          <w:rFonts w:ascii="Times New Roman" w:hAnsi="Times New Roman" w:cs="Times New Roman"/>
          <w:b/>
          <w:bCs/>
          <w:color w:val="000000"/>
          <w:sz w:val="18"/>
          <w:szCs w:val="18"/>
        </w:rPr>
        <w:t>Course load increase for research inactivity</w:t>
      </w:r>
      <w:r w:rsidRPr="00982F7B">
        <w:rPr>
          <w:rStyle w:val="s16"/>
          <w:rFonts w:ascii="Times New Roman" w:hAnsi="Times New Roman" w:cs="Times New Roman"/>
          <w:b/>
          <w:bCs/>
          <w:i/>
          <w:iCs/>
          <w:color w:val="000000"/>
          <w:sz w:val="18"/>
          <w:szCs w:val="18"/>
        </w:rPr>
        <w:t>.</w:t>
      </w:r>
      <w:r w:rsidRPr="00982F7B">
        <w:rPr>
          <w:rStyle w:val="apple-converted-space"/>
          <w:rFonts w:ascii="Times New Roman" w:hAnsi="Times New Roman" w:cs="Times New Roman"/>
          <w:b/>
          <w:bCs/>
          <w:color w:val="000000"/>
          <w:sz w:val="18"/>
          <w:szCs w:val="18"/>
        </w:rPr>
        <w:t> </w:t>
      </w:r>
      <w:r w:rsidRPr="00982F7B">
        <w:rPr>
          <w:rStyle w:val="s7"/>
          <w:rFonts w:ascii="Times New Roman" w:hAnsi="Times New Roman" w:cs="Times New Roman"/>
          <w:color w:val="000000"/>
          <w:sz w:val="18"/>
          <w:szCs w:val="18"/>
        </w:rPr>
        <w:t>Tenured faculty members must be actively engaged in research and scholarship throughout their careers. This policy includes consideration of research productivity after tenure, and resultant workload equity</w:t>
      </w:r>
      <w:r w:rsidRPr="00982F7B">
        <w:rPr>
          <w:rStyle w:val="apple-converted-space"/>
          <w:rFonts w:ascii="Times New Roman" w:hAnsi="Times New Roman" w:cs="Times New Roman"/>
          <w:color w:val="000000"/>
          <w:sz w:val="18"/>
          <w:szCs w:val="18"/>
        </w:rPr>
        <w:t> </w:t>
      </w:r>
      <w:r w:rsidRPr="00982F7B">
        <w:rPr>
          <w:rStyle w:val="s7"/>
          <w:rFonts w:ascii="Times New Roman" w:hAnsi="Times New Roman" w:cs="Times New Roman"/>
          <w:color w:val="000000"/>
          <w:sz w:val="18"/>
          <w:szCs w:val="18"/>
        </w:rPr>
        <w:t>issues, by providing support for faculty and guidance for addressing unsatisfactory research productivity.</w:t>
      </w:r>
    </w:p>
    <w:p w14:paraId="1F2B31C8" w14:textId="77777777" w:rsidR="005E0A6D" w:rsidRDefault="005E0A6D" w:rsidP="005E0A6D">
      <w:pPr>
        <w:pStyle w:val="NormalWeb"/>
        <w:spacing w:before="0" w:beforeAutospacing="0" w:after="0" w:afterAutospacing="0" w:line="216" w:lineRule="atLeast"/>
        <w:rPr>
          <w:rFonts w:ascii="-webkit-standard" w:hAnsi="-webkit-standard" w:hint="eastAsia"/>
          <w:color w:val="000000"/>
          <w:sz w:val="18"/>
          <w:szCs w:val="18"/>
        </w:rPr>
      </w:pPr>
      <w:r>
        <w:rPr>
          <w:rFonts w:ascii="-webkit-standard" w:hAnsi="-webkit-standard"/>
          <w:color w:val="000000"/>
          <w:sz w:val="18"/>
          <w:szCs w:val="18"/>
        </w:rPr>
        <w:t> </w:t>
      </w:r>
    </w:p>
    <w:p w14:paraId="5721820C" w14:textId="77777777" w:rsidR="005E0A6D" w:rsidRPr="00982F7B" w:rsidRDefault="005E0A6D" w:rsidP="005E0A6D">
      <w:pPr>
        <w:pStyle w:val="s11"/>
        <w:spacing w:before="0" w:beforeAutospacing="0" w:after="0" w:afterAutospacing="0" w:line="216" w:lineRule="atLeast"/>
        <w:ind w:left="1080"/>
        <w:rPr>
          <w:rFonts w:ascii="Times New Roman" w:hAnsi="Times New Roman" w:cs="Times New Roman"/>
          <w:color w:val="000000"/>
          <w:sz w:val="18"/>
          <w:szCs w:val="18"/>
        </w:rPr>
      </w:pPr>
      <w:r w:rsidRPr="00982F7B">
        <w:rPr>
          <w:rStyle w:val="s7"/>
          <w:rFonts w:ascii="Times New Roman" w:hAnsi="Times New Roman" w:cs="Times New Roman"/>
          <w:color w:val="000000"/>
          <w:sz w:val="18"/>
          <w:szCs w:val="18"/>
        </w:rPr>
        <w:t>If concerns about research productivity arise or persist during any three- or six-year post-tenure review or after three successive unsatisfactory annual reviews, and the Provost or designee concludes that the faculty member’s research productivity is unsatisfactory, the Department Head will consult with the faculty member and recommend to the Dean and Provost a development plan for improvement. The development plan should include assignment of a mentor, additional supports and suggestions for improvement, as well as time lines and measurable goals intended to foster increased research productivity. Upon approval by the Provost or designee, the development plan will be implemented as soon as possible.  Following completion of the development plan, if the Provost or designee concludes that the faculty member’s research productivity remains unsatisfactory, the faculty member’s standard workload may be adjusted to increase teaching and/or service. Subsequent annual review processes, including consideration for merit, should reflect the faculty member’s adjusted workload and associated performance for the specified period.</w:t>
      </w:r>
      <w:r w:rsidRPr="00982F7B">
        <w:rPr>
          <w:rStyle w:val="apple-converted-space"/>
          <w:rFonts w:ascii="Times New Roman" w:hAnsi="Times New Roman" w:cs="Times New Roman"/>
          <w:color w:val="000000"/>
          <w:sz w:val="18"/>
          <w:szCs w:val="18"/>
        </w:rPr>
        <w:t> </w:t>
      </w:r>
    </w:p>
    <w:p w14:paraId="3B86EFA2" w14:textId="77777777" w:rsidR="005E0A6D" w:rsidRDefault="005E0A6D" w:rsidP="005E0A6D">
      <w:pPr>
        <w:pStyle w:val="s11"/>
        <w:spacing w:before="0" w:beforeAutospacing="0" w:after="0" w:afterAutospacing="0" w:line="216" w:lineRule="atLeast"/>
        <w:ind w:left="1080"/>
        <w:rPr>
          <w:rFonts w:ascii="-webkit-standard" w:hAnsi="-webkit-standard" w:cs="Times New Roman" w:hint="eastAsia"/>
          <w:color w:val="000000"/>
          <w:sz w:val="18"/>
          <w:szCs w:val="18"/>
        </w:rPr>
      </w:pPr>
      <w:r>
        <w:rPr>
          <w:rFonts w:ascii="-webkit-standard" w:hAnsi="-webkit-standard" w:cs="Times New Roman"/>
          <w:color w:val="000000"/>
          <w:sz w:val="18"/>
          <w:szCs w:val="18"/>
        </w:rPr>
        <w:t> </w:t>
      </w:r>
    </w:p>
    <w:p w14:paraId="42A3FB8F" w14:textId="77777777" w:rsidR="005E0A6D" w:rsidRDefault="005E0A6D" w:rsidP="005E0A6D">
      <w:pPr>
        <w:pStyle w:val="s6"/>
        <w:spacing w:before="0" w:beforeAutospacing="0" w:after="0" w:afterAutospacing="0" w:line="216" w:lineRule="atLeast"/>
        <w:ind w:left="540"/>
        <w:rPr>
          <w:rFonts w:ascii="-webkit-standard" w:hAnsi="-webkit-standard" w:cs="Times New Roman" w:hint="eastAsia"/>
          <w:color w:val="000000"/>
          <w:sz w:val="18"/>
          <w:szCs w:val="18"/>
        </w:rPr>
      </w:pPr>
      <w:r>
        <w:rPr>
          <w:rStyle w:val="s15"/>
          <w:rFonts w:ascii="-webkit-standard" w:hAnsi="-webkit-standard" w:cs="Times New Roman"/>
          <w:b/>
          <w:bCs/>
          <w:color w:val="000000"/>
          <w:sz w:val="18"/>
          <w:szCs w:val="18"/>
        </w:rPr>
        <w:t>C. Advising and student contact</w:t>
      </w:r>
    </w:p>
    <w:p w14:paraId="27F67165" w14:textId="77777777" w:rsidR="005E0A6D" w:rsidRDefault="005E0A6D" w:rsidP="005E0A6D">
      <w:pPr>
        <w:pStyle w:val="s17"/>
        <w:spacing w:before="0" w:beforeAutospacing="0" w:after="0" w:afterAutospacing="0" w:line="216" w:lineRule="atLeast"/>
        <w:ind w:left="810"/>
        <w:rPr>
          <w:rFonts w:ascii="-webkit-standard" w:hAnsi="-webkit-standard" w:cs="Times New Roman" w:hint="eastAsia"/>
          <w:color w:val="000000"/>
          <w:sz w:val="18"/>
          <w:szCs w:val="18"/>
        </w:rPr>
      </w:pPr>
      <w:r>
        <w:rPr>
          <w:rFonts w:ascii="-webkit-standard" w:hAnsi="-webkit-standard" w:cs="Times New Roman"/>
          <w:color w:val="000000"/>
          <w:sz w:val="18"/>
          <w:szCs w:val="18"/>
        </w:rPr>
        <w:t> </w:t>
      </w:r>
    </w:p>
    <w:p w14:paraId="3468FE5E" w14:textId="77777777" w:rsidR="005E0A6D" w:rsidRDefault="005E0A6D" w:rsidP="005E0A6D">
      <w:pPr>
        <w:pStyle w:val="s11"/>
        <w:spacing w:before="0" w:beforeAutospacing="0" w:after="0" w:afterAutospacing="0" w:line="216" w:lineRule="atLeast"/>
        <w:ind w:left="1080"/>
        <w:rPr>
          <w:rFonts w:ascii="-webkit-standard" w:hAnsi="-webkit-standard" w:cs="Times New Roman" w:hint="eastAsia"/>
          <w:color w:val="000000"/>
          <w:sz w:val="18"/>
          <w:szCs w:val="18"/>
        </w:rPr>
      </w:pPr>
      <w:r>
        <w:rPr>
          <w:rStyle w:val="s2"/>
          <w:rFonts w:ascii="Times New Roman" w:hAnsi="Times New Roman" w:cs="Times New Roman"/>
          <w:b/>
          <w:bCs/>
          <w:color w:val="000000"/>
          <w:sz w:val="18"/>
          <w:szCs w:val="18"/>
        </w:rPr>
        <w:t>1. General advising expectations.  </w:t>
      </w:r>
      <w:r>
        <w:rPr>
          <w:rStyle w:val="s8"/>
          <w:rFonts w:ascii="Times New Roman" w:hAnsi="Times New Roman" w:cs="Times New Roman"/>
          <w:color w:val="000000"/>
          <w:sz w:val="18"/>
          <w:szCs w:val="18"/>
        </w:rPr>
        <w:t>TTF are expected to advise and mentor students who take their courses insofar as this is considered a normal part of teaching any course. TTF may also be called upon to provide academic advising for students they have not</w:t>
      </w:r>
      <w:r>
        <w:rPr>
          <w:rStyle w:val="apple-converted-space"/>
          <w:rFonts w:ascii="Times New Roman" w:hAnsi="Times New Roman" w:cs="Times New Roman"/>
          <w:color w:val="000000"/>
          <w:sz w:val="18"/>
          <w:szCs w:val="18"/>
        </w:rPr>
        <w:t> </w:t>
      </w:r>
      <w:r>
        <w:rPr>
          <w:rStyle w:val="s8"/>
          <w:rFonts w:ascii="Times New Roman" w:hAnsi="Times New Roman" w:cs="Times New Roman"/>
          <w:color w:val="000000"/>
          <w:sz w:val="18"/>
          <w:szCs w:val="18"/>
        </w:rPr>
        <w:t>taught in courses but who are enrolled in the degree programs for which they serve as faculty. They should be willing to write recommendation letters and serve as references for students with whom they have interacted in coursework or other contexts.</w:t>
      </w:r>
    </w:p>
    <w:p w14:paraId="3AF32B59" w14:textId="77777777" w:rsidR="005E0A6D" w:rsidRDefault="005E0A6D" w:rsidP="005E0A6D">
      <w:pPr>
        <w:pStyle w:val="s17"/>
        <w:spacing w:before="0" w:beforeAutospacing="0" w:after="0" w:afterAutospacing="0" w:line="216" w:lineRule="atLeast"/>
        <w:ind w:left="810"/>
        <w:rPr>
          <w:rFonts w:ascii="-webkit-standard" w:hAnsi="-webkit-standard" w:cs="Times New Roman" w:hint="eastAsia"/>
          <w:color w:val="000000"/>
          <w:sz w:val="18"/>
          <w:szCs w:val="18"/>
        </w:rPr>
      </w:pPr>
      <w:r>
        <w:rPr>
          <w:rFonts w:ascii="-webkit-standard" w:hAnsi="-webkit-standard" w:cs="Times New Roman"/>
          <w:color w:val="000000"/>
          <w:sz w:val="18"/>
          <w:szCs w:val="18"/>
        </w:rPr>
        <w:t> </w:t>
      </w:r>
    </w:p>
    <w:p w14:paraId="1DD2CEF3" w14:textId="77777777" w:rsidR="005E0A6D" w:rsidRDefault="005E0A6D" w:rsidP="005E0A6D">
      <w:pPr>
        <w:pStyle w:val="s11"/>
        <w:spacing w:before="0" w:beforeAutospacing="0" w:after="0" w:afterAutospacing="0" w:line="216" w:lineRule="atLeast"/>
        <w:ind w:left="1080"/>
        <w:rPr>
          <w:rFonts w:ascii="-webkit-standard" w:hAnsi="-webkit-standard" w:cs="Times New Roman" w:hint="eastAsia"/>
          <w:color w:val="000000"/>
          <w:sz w:val="18"/>
          <w:szCs w:val="18"/>
        </w:rPr>
      </w:pPr>
      <w:r>
        <w:rPr>
          <w:rStyle w:val="s2"/>
          <w:rFonts w:ascii="Times New Roman" w:hAnsi="Times New Roman" w:cs="Times New Roman"/>
          <w:b/>
          <w:bCs/>
          <w:color w:val="000000"/>
          <w:sz w:val="18"/>
          <w:szCs w:val="18"/>
        </w:rPr>
        <w:t>2.</w:t>
      </w:r>
      <w:r>
        <w:rPr>
          <w:rStyle w:val="apple-converted-space"/>
          <w:rFonts w:ascii="Times New Roman" w:hAnsi="Times New Roman" w:cs="Times New Roman"/>
          <w:b/>
          <w:bCs/>
          <w:color w:val="000000"/>
          <w:sz w:val="18"/>
          <w:szCs w:val="18"/>
        </w:rPr>
        <w:t> </w:t>
      </w:r>
      <w:r>
        <w:rPr>
          <w:rStyle w:val="s2"/>
          <w:rFonts w:ascii="Times New Roman" w:hAnsi="Times New Roman" w:cs="Times New Roman"/>
          <w:b/>
          <w:bCs/>
          <w:color w:val="000000"/>
          <w:sz w:val="18"/>
          <w:szCs w:val="18"/>
        </w:rPr>
        <w:t>Office hours and student contact.  </w:t>
      </w:r>
      <w:r>
        <w:rPr>
          <w:rStyle w:val="s8"/>
          <w:rFonts w:ascii="Times New Roman" w:hAnsi="Times New Roman" w:cs="Times New Roman"/>
          <w:color w:val="000000"/>
          <w:sz w:val="18"/>
          <w:szCs w:val="18"/>
        </w:rPr>
        <w:t>TTF are expected to make themselves available to students through office hours and/or appointments during the terms in which they teach. They should also make themselves reasonably available to students via email and/or other appropriate online media throughout the academic year.</w:t>
      </w:r>
    </w:p>
    <w:p w14:paraId="3B59FD0B" w14:textId="77777777" w:rsidR="005E0A6D" w:rsidRDefault="005E0A6D" w:rsidP="005E0A6D">
      <w:pPr>
        <w:pStyle w:val="s17"/>
        <w:spacing w:before="0" w:beforeAutospacing="0" w:after="0" w:afterAutospacing="0" w:line="216" w:lineRule="atLeast"/>
        <w:ind w:left="810"/>
        <w:rPr>
          <w:rFonts w:ascii="-webkit-standard" w:hAnsi="-webkit-standard" w:cs="Times New Roman" w:hint="eastAsia"/>
          <w:color w:val="000000"/>
          <w:sz w:val="18"/>
          <w:szCs w:val="18"/>
        </w:rPr>
      </w:pPr>
      <w:r>
        <w:rPr>
          <w:rFonts w:ascii="-webkit-standard" w:hAnsi="-webkit-standard" w:cs="Times New Roman"/>
          <w:color w:val="000000"/>
          <w:sz w:val="18"/>
          <w:szCs w:val="18"/>
        </w:rPr>
        <w:t> </w:t>
      </w:r>
    </w:p>
    <w:p w14:paraId="064D74C1" w14:textId="77777777" w:rsidR="005E0A6D" w:rsidRDefault="005E0A6D" w:rsidP="005E0A6D">
      <w:pPr>
        <w:pStyle w:val="s11"/>
        <w:spacing w:before="0" w:beforeAutospacing="0" w:after="0" w:afterAutospacing="0" w:line="216" w:lineRule="atLeast"/>
        <w:ind w:left="1080"/>
        <w:rPr>
          <w:rFonts w:ascii="-webkit-standard" w:hAnsi="-webkit-standard" w:cs="Times New Roman" w:hint="eastAsia"/>
          <w:color w:val="000000"/>
          <w:sz w:val="18"/>
          <w:szCs w:val="18"/>
        </w:rPr>
      </w:pPr>
      <w:r>
        <w:rPr>
          <w:rStyle w:val="s2"/>
          <w:rFonts w:ascii="Times New Roman" w:hAnsi="Times New Roman" w:cs="Times New Roman"/>
          <w:b/>
          <w:bCs/>
          <w:color w:val="000000"/>
          <w:sz w:val="18"/>
          <w:szCs w:val="18"/>
        </w:rPr>
        <w:t>3. Thesis and dissertation committees.  </w:t>
      </w:r>
      <w:r>
        <w:rPr>
          <w:rStyle w:val="s8"/>
          <w:rFonts w:ascii="Times New Roman" w:hAnsi="Times New Roman" w:cs="Times New Roman"/>
          <w:color w:val="000000"/>
          <w:sz w:val="18"/>
          <w:szCs w:val="18"/>
        </w:rPr>
        <w:t>TTF are expected to serve as chairs or members of both undergraduate and graduate thesis and dissertation committees, as appropriate to their expertise, the nature of their academic unit, and the needs and interests of their students.</w:t>
      </w:r>
    </w:p>
    <w:p w14:paraId="6484B6D9" w14:textId="77777777" w:rsidR="005E0A6D" w:rsidRDefault="005E0A6D" w:rsidP="005E0A6D">
      <w:pPr>
        <w:pStyle w:val="s11"/>
        <w:spacing w:before="0" w:beforeAutospacing="0" w:after="0" w:afterAutospacing="0" w:line="216" w:lineRule="atLeast"/>
        <w:ind w:left="1080"/>
        <w:rPr>
          <w:rFonts w:ascii="-webkit-standard" w:hAnsi="-webkit-standard" w:cs="Times New Roman" w:hint="eastAsia"/>
          <w:color w:val="000000"/>
          <w:sz w:val="18"/>
          <w:szCs w:val="18"/>
        </w:rPr>
      </w:pPr>
      <w:r>
        <w:rPr>
          <w:rFonts w:ascii="-webkit-standard" w:hAnsi="-webkit-standard" w:cs="Times New Roman"/>
          <w:color w:val="000000"/>
          <w:sz w:val="18"/>
          <w:szCs w:val="18"/>
        </w:rPr>
        <w:t> </w:t>
      </w:r>
    </w:p>
    <w:p w14:paraId="52679F83" w14:textId="77777777" w:rsidR="005E0A6D" w:rsidRDefault="005E0A6D" w:rsidP="005E0A6D">
      <w:pPr>
        <w:pStyle w:val="s11"/>
        <w:spacing w:before="0" w:beforeAutospacing="0" w:after="0" w:afterAutospacing="0" w:line="216" w:lineRule="atLeast"/>
        <w:ind w:left="1080"/>
        <w:rPr>
          <w:rFonts w:ascii="-webkit-standard" w:hAnsi="-webkit-standard" w:cs="Times New Roman" w:hint="eastAsia"/>
          <w:color w:val="000000"/>
          <w:sz w:val="18"/>
          <w:szCs w:val="18"/>
        </w:rPr>
      </w:pPr>
      <w:r>
        <w:rPr>
          <w:rStyle w:val="s2"/>
          <w:rFonts w:ascii="Times New Roman" w:hAnsi="Times New Roman" w:cs="Times New Roman"/>
          <w:b/>
          <w:bCs/>
          <w:color w:val="000000"/>
          <w:sz w:val="18"/>
          <w:szCs w:val="18"/>
        </w:rPr>
        <w:t>4. Research Mentoring.</w:t>
      </w:r>
      <w:r>
        <w:rPr>
          <w:rStyle w:val="apple-converted-space"/>
          <w:rFonts w:ascii="Times New Roman" w:hAnsi="Times New Roman" w:cs="Times New Roman"/>
          <w:b/>
          <w:bCs/>
          <w:color w:val="000000"/>
          <w:sz w:val="18"/>
          <w:szCs w:val="18"/>
        </w:rPr>
        <w:t> </w:t>
      </w:r>
      <w:r>
        <w:rPr>
          <w:rStyle w:val="s8"/>
          <w:rFonts w:ascii="Times New Roman" w:hAnsi="Times New Roman" w:cs="Times New Roman"/>
          <w:color w:val="000000"/>
          <w:sz w:val="18"/>
          <w:szCs w:val="18"/>
        </w:rPr>
        <w:t>Research mentoring takes many forms, from co-authoring research manuscripts for publication or presentation and supervising students on research teams</w:t>
      </w:r>
      <w:r>
        <w:rPr>
          <w:rStyle w:val="apple-converted-space"/>
          <w:rFonts w:ascii="Times New Roman" w:hAnsi="Times New Roman" w:cs="Times New Roman"/>
          <w:color w:val="000000"/>
          <w:sz w:val="18"/>
          <w:szCs w:val="18"/>
        </w:rPr>
        <w:t> </w:t>
      </w:r>
      <w:r>
        <w:rPr>
          <w:rStyle w:val="s8"/>
          <w:rFonts w:ascii="Times New Roman" w:hAnsi="Times New Roman" w:cs="Times New Roman"/>
          <w:color w:val="000000"/>
          <w:sz w:val="18"/>
          <w:szCs w:val="18"/>
        </w:rPr>
        <w:t xml:space="preserve">to consulting with students on research design and methodology. TTF are expected to provide research mentoring to students beyond serving on thesis and dissertation committees. In some cases, and with approval of the </w:t>
      </w:r>
      <w:r>
        <w:rPr>
          <w:rStyle w:val="s8"/>
          <w:rFonts w:ascii="Times New Roman" w:hAnsi="Times New Roman" w:cs="Times New Roman"/>
          <w:color w:val="000000"/>
          <w:sz w:val="18"/>
          <w:szCs w:val="18"/>
        </w:rPr>
        <w:lastRenderedPageBreak/>
        <w:t>Department Head and Dean, extensive research mentorship may count as one course in the faculty member’s course load.</w:t>
      </w:r>
    </w:p>
    <w:p w14:paraId="6C5F4804" w14:textId="77777777" w:rsidR="005E0A6D" w:rsidRDefault="005E0A6D" w:rsidP="005E0A6D">
      <w:pPr>
        <w:pStyle w:val="s11"/>
        <w:spacing w:before="0" w:beforeAutospacing="0" w:after="0" w:afterAutospacing="0" w:line="216" w:lineRule="atLeast"/>
        <w:ind w:left="1080"/>
        <w:rPr>
          <w:rFonts w:ascii="-webkit-standard" w:hAnsi="-webkit-standard" w:cs="Times New Roman" w:hint="eastAsia"/>
          <w:color w:val="000000"/>
          <w:sz w:val="18"/>
          <w:szCs w:val="18"/>
        </w:rPr>
      </w:pPr>
      <w:r>
        <w:rPr>
          <w:rFonts w:ascii="-webkit-standard" w:hAnsi="-webkit-standard" w:cs="Times New Roman"/>
          <w:color w:val="000000"/>
          <w:sz w:val="18"/>
          <w:szCs w:val="18"/>
        </w:rPr>
        <w:t> </w:t>
      </w:r>
    </w:p>
    <w:p w14:paraId="22D524A6" w14:textId="5000C4D9" w:rsidR="00BB2884" w:rsidRPr="007D45C3" w:rsidRDefault="00BB2884" w:rsidP="00BB2884">
      <w:pPr>
        <w:rPr>
          <w:rFonts w:ascii="Times New Roman" w:hAnsi="Times New Roman" w:cs="Times New Roman"/>
        </w:rPr>
      </w:pPr>
      <w:r w:rsidRPr="007D45C3">
        <w:rPr>
          <w:rFonts w:ascii="Times New Roman" w:hAnsi="Times New Roman" w:cs="Times New Roman"/>
        </w:rPr>
        <w:t>Excerpt 2: from COE CNTTF (Instructional Faculty) Professional</w:t>
      </w:r>
      <w:r w:rsidR="00C62EA9">
        <w:rPr>
          <w:rFonts w:ascii="Times New Roman" w:hAnsi="Times New Roman" w:cs="Times New Roman"/>
        </w:rPr>
        <w:t xml:space="preserve"> Responsibilities Policy (2017) </w:t>
      </w:r>
      <w:r w:rsidR="003546A4" w:rsidRPr="007D45C3">
        <w:rPr>
          <w:rFonts w:ascii="Times New Roman" w:hAnsi="Times New Roman" w:cs="Times New Roman"/>
        </w:rPr>
        <w:t>(</w:t>
      </w:r>
      <w:r w:rsidR="00C62EA9" w:rsidRPr="00C62EA9">
        <w:rPr>
          <w:rFonts w:ascii="Times New Roman" w:hAnsi="Times New Roman" w:cs="Times New Roman"/>
        </w:rPr>
        <w:t>https://academicaffairs.uoregon.edu/sites/academicaffairs2.uoregon.edu/files/coe_nttf_professional_responsibilities_final_12_05_17_sp_mh.pdf</w:t>
      </w:r>
      <w:r w:rsidR="003546A4" w:rsidRPr="007D45C3">
        <w:rPr>
          <w:rFonts w:ascii="Times New Roman" w:hAnsi="Times New Roman" w:cs="Times New Roman"/>
        </w:rPr>
        <w:t>)</w:t>
      </w:r>
    </w:p>
    <w:p w14:paraId="2804FFC3" w14:textId="77777777" w:rsidR="00BB2884" w:rsidRDefault="00BB2884" w:rsidP="00171E27">
      <w:pPr>
        <w:rPr>
          <w:rFonts w:ascii="Times New Roman" w:hAnsi="Times New Roman" w:cs="Times New Roman"/>
          <w:b/>
          <w:sz w:val="18"/>
          <w:szCs w:val="18"/>
        </w:rPr>
      </w:pPr>
    </w:p>
    <w:p w14:paraId="50C4A933" w14:textId="16C1E899" w:rsidR="00171E27" w:rsidRPr="00171E27" w:rsidRDefault="00171E27" w:rsidP="00171E27">
      <w:pPr>
        <w:rPr>
          <w:rFonts w:ascii="Times New Roman" w:hAnsi="Times New Roman" w:cs="Times New Roman"/>
          <w:sz w:val="18"/>
          <w:szCs w:val="18"/>
        </w:rPr>
      </w:pPr>
      <w:r w:rsidRPr="00171E27">
        <w:rPr>
          <w:rFonts w:ascii="Times New Roman" w:hAnsi="Times New Roman" w:cs="Times New Roman"/>
          <w:b/>
          <w:sz w:val="18"/>
          <w:szCs w:val="18"/>
        </w:rPr>
        <w:t>COE NTTF Workload</w:t>
      </w:r>
      <w:r w:rsidRPr="00171E27">
        <w:rPr>
          <w:rFonts w:ascii="Times New Roman" w:hAnsi="Times New Roman" w:cs="Times New Roman"/>
          <w:sz w:val="18"/>
          <w:szCs w:val="18"/>
        </w:rPr>
        <w:t xml:space="preserve"> </w:t>
      </w:r>
    </w:p>
    <w:p w14:paraId="239BDFEC" w14:textId="77777777" w:rsidR="00171E27" w:rsidRDefault="00171E27" w:rsidP="00171E27">
      <w:pPr>
        <w:rPr>
          <w:rFonts w:ascii="Times New Roman" w:hAnsi="Times New Roman" w:cs="Times New Roman"/>
          <w:bCs/>
          <w:sz w:val="18"/>
          <w:szCs w:val="18"/>
        </w:rPr>
      </w:pPr>
    </w:p>
    <w:p w14:paraId="22EAA6F0" w14:textId="77777777" w:rsidR="00171E27" w:rsidRPr="00171E27" w:rsidRDefault="00171E27" w:rsidP="00171E27">
      <w:pPr>
        <w:rPr>
          <w:rFonts w:ascii="Times New Roman" w:hAnsi="Times New Roman" w:cs="Times New Roman"/>
          <w:sz w:val="18"/>
          <w:szCs w:val="18"/>
        </w:rPr>
      </w:pPr>
      <w:r w:rsidRPr="00171E27">
        <w:rPr>
          <w:rFonts w:ascii="Times New Roman" w:hAnsi="Times New Roman" w:cs="Times New Roman"/>
          <w:bCs/>
          <w:sz w:val="18"/>
          <w:szCs w:val="18"/>
        </w:rPr>
        <w:t xml:space="preserve">A. Instruction 1. Teaching </w:t>
      </w:r>
    </w:p>
    <w:p w14:paraId="1F131B6F" w14:textId="77777777" w:rsidR="00171E27" w:rsidRPr="00171E27" w:rsidRDefault="00171E27" w:rsidP="00171E27">
      <w:pPr>
        <w:numPr>
          <w:ilvl w:val="0"/>
          <w:numId w:val="1"/>
        </w:numPr>
        <w:rPr>
          <w:rFonts w:ascii="Times New Roman" w:hAnsi="Times New Roman" w:cs="Times New Roman"/>
          <w:bCs/>
          <w:sz w:val="18"/>
          <w:szCs w:val="18"/>
        </w:rPr>
      </w:pPr>
      <w:r w:rsidRPr="00171E27">
        <w:rPr>
          <w:rFonts w:ascii="Times New Roman" w:hAnsi="Times New Roman" w:cs="Times New Roman"/>
          <w:bCs/>
          <w:sz w:val="18"/>
          <w:szCs w:val="18"/>
        </w:rPr>
        <w:t xml:space="preserve">Standard load. The standard teaching load for a 1.0 full-time equivalent (FTE) NTTF is eight (8) courses of at least 3 - 5 credits (minimum of 24-credits) during the academic year, or an equivalent load as determined by the department head and approved by the Dean in keeping with guidance provided by the college. In some cases, and with the approval of the Department Head and Dean, one course in the eight-course load may be a combination of 1- and 2-credit courses to equal at least 3-credits in total. NTTF are expected to be able to teach a full range of courses at different levels, on both broad and specialized subjects. Consistent with the mission of a professional school, NTTF may also be assigned, as appropriate to their academic program and qualifications, to serve as instructor of record for </w:t>
      </w:r>
      <w:proofErr w:type="spellStart"/>
      <w:r w:rsidRPr="00171E27">
        <w:rPr>
          <w:rFonts w:ascii="Times New Roman" w:hAnsi="Times New Roman" w:cs="Times New Roman"/>
          <w:bCs/>
          <w:sz w:val="18"/>
          <w:szCs w:val="18"/>
        </w:rPr>
        <w:t>practica</w:t>
      </w:r>
      <w:proofErr w:type="spellEnd"/>
      <w:r w:rsidRPr="00171E27">
        <w:rPr>
          <w:rFonts w:ascii="Times New Roman" w:hAnsi="Times New Roman" w:cs="Times New Roman"/>
          <w:bCs/>
          <w:sz w:val="18"/>
          <w:szCs w:val="18"/>
        </w:rPr>
        <w:t>, internship, clinical supervision, or other field experiences.  </w:t>
      </w:r>
    </w:p>
    <w:p w14:paraId="3B10276C" w14:textId="77777777" w:rsidR="00171E27" w:rsidRPr="00171E27" w:rsidRDefault="00171E27" w:rsidP="00171E27">
      <w:pPr>
        <w:numPr>
          <w:ilvl w:val="0"/>
          <w:numId w:val="1"/>
        </w:numPr>
        <w:rPr>
          <w:rFonts w:ascii="Times New Roman" w:hAnsi="Times New Roman" w:cs="Times New Roman"/>
          <w:bCs/>
          <w:sz w:val="18"/>
          <w:szCs w:val="18"/>
        </w:rPr>
      </w:pPr>
      <w:r w:rsidRPr="00171E27">
        <w:rPr>
          <w:rFonts w:ascii="Times New Roman" w:hAnsi="Times New Roman" w:cs="Times New Roman"/>
          <w:bCs/>
          <w:sz w:val="18"/>
          <w:szCs w:val="18"/>
        </w:rPr>
        <w:t>Course revision. NTTF are expected to review their courses annually and revise as needed to incorporate advances in academic content and pedagogy, and to ensure that their courses continue to promote the learning outcomes of the departments and programs of which they are a part.  </w:t>
      </w:r>
    </w:p>
    <w:p w14:paraId="75C5399D" w14:textId="77777777" w:rsidR="00171E27" w:rsidRPr="00171E27" w:rsidRDefault="00171E27" w:rsidP="00171E27">
      <w:pPr>
        <w:numPr>
          <w:ilvl w:val="0"/>
          <w:numId w:val="1"/>
        </w:numPr>
        <w:rPr>
          <w:rFonts w:ascii="Times New Roman" w:hAnsi="Times New Roman" w:cs="Times New Roman"/>
          <w:bCs/>
          <w:sz w:val="18"/>
          <w:szCs w:val="18"/>
        </w:rPr>
      </w:pPr>
      <w:r w:rsidRPr="00171E27">
        <w:rPr>
          <w:rFonts w:ascii="Times New Roman" w:hAnsi="Times New Roman" w:cs="Times New Roman"/>
          <w:bCs/>
          <w:sz w:val="18"/>
          <w:szCs w:val="18"/>
        </w:rPr>
        <w:t>Independent study courses. In addition to the standard teaching load, NTTF may supervise students, both graduate and undergraduate, in independent study courses. In these courses, faculty members are expected to maintain standards of student work and student-instructor engagement appropriate to the awarding of academic credit. The standard teaching load does not typically include infrequent or time- limited teaching activities.  </w:t>
      </w:r>
    </w:p>
    <w:p w14:paraId="2A404501" w14:textId="77777777" w:rsidR="00171E27" w:rsidRPr="00171E27" w:rsidRDefault="00171E27" w:rsidP="00171E27">
      <w:pPr>
        <w:numPr>
          <w:ilvl w:val="0"/>
          <w:numId w:val="1"/>
        </w:numPr>
        <w:rPr>
          <w:rFonts w:ascii="Times New Roman" w:hAnsi="Times New Roman" w:cs="Times New Roman"/>
          <w:bCs/>
          <w:sz w:val="18"/>
          <w:szCs w:val="18"/>
        </w:rPr>
      </w:pPr>
      <w:r w:rsidRPr="00171E27">
        <w:rPr>
          <w:rFonts w:ascii="Times New Roman" w:hAnsi="Times New Roman" w:cs="Times New Roman"/>
          <w:bCs/>
          <w:sz w:val="18"/>
          <w:szCs w:val="18"/>
        </w:rPr>
        <w:t>Course load reduction (buyout). These policies are described in section IV below.  </w:t>
      </w:r>
    </w:p>
    <w:p w14:paraId="7EA412B3" w14:textId="77777777" w:rsidR="00171E27" w:rsidRPr="00171E27" w:rsidRDefault="00171E27" w:rsidP="00171E27">
      <w:pPr>
        <w:numPr>
          <w:ilvl w:val="0"/>
          <w:numId w:val="1"/>
        </w:numPr>
        <w:rPr>
          <w:rFonts w:ascii="Times New Roman" w:hAnsi="Times New Roman" w:cs="Times New Roman"/>
          <w:bCs/>
          <w:sz w:val="18"/>
          <w:szCs w:val="18"/>
        </w:rPr>
      </w:pPr>
      <w:r w:rsidRPr="00171E27">
        <w:rPr>
          <w:rFonts w:ascii="Times New Roman" w:hAnsi="Times New Roman" w:cs="Times New Roman"/>
          <w:bCs/>
          <w:sz w:val="18"/>
          <w:szCs w:val="18"/>
        </w:rPr>
        <w:t>Team-teaching. A course that is team taught by two faculty members will typically count as half a course.  </w:t>
      </w:r>
    </w:p>
    <w:p w14:paraId="089DB31D" w14:textId="77777777" w:rsidR="00171E27" w:rsidRDefault="00171E27" w:rsidP="00171E27">
      <w:pPr>
        <w:rPr>
          <w:rFonts w:ascii="Times New Roman" w:hAnsi="Times New Roman" w:cs="Times New Roman"/>
          <w:bCs/>
          <w:sz w:val="18"/>
          <w:szCs w:val="18"/>
        </w:rPr>
      </w:pPr>
    </w:p>
    <w:p w14:paraId="776E46F9" w14:textId="77777777" w:rsidR="00171E27" w:rsidRPr="00171E27" w:rsidRDefault="00171E27" w:rsidP="00171E27">
      <w:pPr>
        <w:rPr>
          <w:rFonts w:ascii="Times New Roman" w:hAnsi="Times New Roman" w:cs="Times New Roman"/>
          <w:sz w:val="18"/>
          <w:szCs w:val="18"/>
        </w:rPr>
      </w:pPr>
      <w:r w:rsidRPr="00171E27">
        <w:rPr>
          <w:rFonts w:ascii="Times New Roman" w:hAnsi="Times New Roman" w:cs="Times New Roman"/>
          <w:bCs/>
          <w:sz w:val="18"/>
          <w:szCs w:val="18"/>
        </w:rPr>
        <w:t xml:space="preserve">2. Advising and Student Contact </w:t>
      </w:r>
    </w:p>
    <w:p w14:paraId="5CA5B8AA" w14:textId="3D6B2293" w:rsidR="00171E27" w:rsidRPr="00171E27" w:rsidRDefault="00171E27" w:rsidP="00171E27">
      <w:pPr>
        <w:rPr>
          <w:rFonts w:ascii="Times New Roman" w:hAnsi="Times New Roman" w:cs="Times New Roman"/>
          <w:sz w:val="18"/>
          <w:szCs w:val="18"/>
        </w:rPr>
      </w:pPr>
    </w:p>
    <w:p w14:paraId="08D2CD30" w14:textId="77777777" w:rsidR="00171E27" w:rsidRPr="00171E27" w:rsidRDefault="00171E27" w:rsidP="00171E27">
      <w:pPr>
        <w:numPr>
          <w:ilvl w:val="0"/>
          <w:numId w:val="2"/>
        </w:numPr>
        <w:rPr>
          <w:rFonts w:ascii="Times New Roman" w:hAnsi="Times New Roman" w:cs="Times New Roman"/>
          <w:bCs/>
          <w:sz w:val="18"/>
          <w:szCs w:val="18"/>
        </w:rPr>
      </w:pPr>
      <w:r w:rsidRPr="00171E27">
        <w:rPr>
          <w:rFonts w:ascii="Times New Roman" w:hAnsi="Times New Roman" w:cs="Times New Roman"/>
          <w:bCs/>
          <w:sz w:val="18"/>
          <w:szCs w:val="18"/>
        </w:rPr>
        <w:t>General advising expectations. NTTF are expected to advise and mentor students who take their courses insofar as this is considered a normal part of teaching any course. NTTF may also be called upon to provide academic advising for students they have not taught in courses but who are enrolled in the degree programs for which they serve as faculty. They should be willing to write recommendation letters and serve as references for students with whom they have interacted in coursework or other contact.  </w:t>
      </w:r>
    </w:p>
    <w:p w14:paraId="1A165693" w14:textId="77777777" w:rsidR="00171E27" w:rsidRPr="00171E27" w:rsidRDefault="00171E27" w:rsidP="00171E27">
      <w:pPr>
        <w:numPr>
          <w:ilvl w:val="0"/>
          <w:numId w:val="2"/>
        </w:numPr>
        <w:rPr>
          <w:rFonts w:ascii="Times New Roman" w:hAnsi="Times New Roman" w:cs="Times New Roman"/>
          <w:bCs/>
          <w:sz w:val="18"/>
          <w:szCs w:val="18"/>
        </w:rPr>
      </w:pPr>
      <w:r w:rsidRPr="00171E27">
        <w:rPr>
          <w:rFonts w:ascii="Times New Roman" w:hAnsi="Times New Roman" w:cs="Times New Roman"/>
          <w:bCs/>
          <w:sz w:val="18"/>
          <w:szCs w:val="18"/>
        </w:rPr>
        <w:t>Office hours and availability to students. NTTF are expected to make themselves available to students through office hours and/or appointments during the terms in which they teach. They should also make themselves reasonably available to students via email and/or other appropriate online media throughout the academic year.  </w:t>
      </w:r>
    </w:p>
    <w:p w14:paraId="65E46F93" w14:textId="77777777" w:rsidR="005E0A6D" w:rsidRDefault="005E0A6D"/>
    <w:sectPr w:rsidR="005E0A6D" w:rsidSect="00F93EF7">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C9CFE" w14:textId="77777777" w:rsidR="00BF6281" w:rsidRDefault="00BF6281" w:rsidP="00A77350">
      <w:r>
        <w:separator/>
      </w:r>
    </w:p>
  </w:endnote>
  <w:endnote w:type="continuationSeparator" w:id="0">
    <w:p w14:paraId="1F78FD46" w14:textId="77777777" w:rsidR="00BF6281" w:rsidRDefault="00BF6281" w:rsidP="00A7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CC6098" w14:textId="77777777" w:rsidR="00BF6281" w:rsidRDefault="00BF6281" w:rsidP="000F34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8C14B" w14:textId="77777777" w:rsidR="00BF6281" w:rsidRDefault="00BF6281" w:rsidP="00A773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55F25D" w14:textId="01365745" w:rsidR="00BF6281" w:rsidRDefault="00BF6281" w:rsidP="000F34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39C5">
      <w:rPr>
        <w:rStyle w:val="PageNumber"/>
        <w:noProof/>
      </w:rPr>
      <w:t>3</w:t>
    </w:r>
    <w:r>
      <w:rPr>
        <w:rStyle w:val="PageNumber"/>
      </w:rPr>
      <w:fldChar w:fldCharType="end"/>
    </w:r>
  </w:p>
  <w:p w14:paraId="4D6C4312" w14:textId="77777777" w:rsidR="00BF6281" w:rsidRDefault="00BF6281" w:rsidP="00A7735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96665A" w14:textId="77777777" w:rsidR="00BF6281" w:rsidRDefault="00BF62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00361" w14:textId="77777777" w:rsidR="00BF6281" w:rsidRDefault="00BF6281" w:rsidP="00A77350">
      <w:r>
        <w:separator/>
      </w:r>
    </w:p>
  </w:footnote>
  <w:footnote w:type="continuationSeparator" w:id="0">
    <w:p w14:paraId="5329621B" w14:textId="77777777" w:rsidR="00BF6281" w:rsidRDefault="00BF6281" w:rsidP="00A773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D893F2" w14:textId="13175D99" w:rsidR="00BF6281" w:rsidRDefault="009E39C5">
    <w:pPr>
      <w:pStyle w:val="Header"/>
    </w:pPr>
    <w:r>
      <w:rPr>
        <w:noProof/>
      </w:rPr>
      <w:pict w14:anchorId="76E039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in;height:2in;z-index:-251655168;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0CA456" w14:textId="5119DFF6" w:rsidR="00BF6281" w:rsidRDefault="009E39C5">
    <w:pPr>
      <w:pStyle w:val="Header"/>
    </w:pPr>
    <w:r>
      <w:rPr>
        <w:noProof/>
      </w:rPr>
      <w:pict w14:anchorId="496F624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in;height:2in;z-index:-251657216;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6FF033" w14:textId="594BA82B" w:rsidR="00BF6281" w:rsidRDefault="009E39C5">
    <w:pPr>
      <w:pStyle w:val="Header"/>
    </w:pPr>
    <w:r>
      <w:rPr>
        <w:noProof/>
      </w:rPr>
      <w:pict w14:anchorId="1A12AB8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in;height:2in;z-index:-251653120;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99D613A"/>
    <w:multiLevelType w:val="hybridMultilevel"/>
    <w:tmpl w:val="0F92CC80"/>
    <w:lvl w:ilvl="0" w:tplc="388A879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255F6F5C"/>
    <w:multiLevelType w:val="hybridMultilevel"/>
    <w:tmpl w:val="1B6C7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87274"/>
    <w:multiLevelType w:val="hybridMultilevel"/>
    <w:tmpl w:val="599E62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960C35"/>
    <w:multiLevelType w:val="hybridMultilevel"/>
    <w:tmpl w:val="DB249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6402C6"/>
    <w:multiLevelType w:val="hybridMultilevel"/>
    <w:tmpl w:val="06EC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7338A"/>
    <w:multiLevelType w:val="hybridMultilevel"/>
    <w:tmpl w:val="4DE013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BD120F"/>
    <w:multiLevelType w:val="hybridMultilevel"/>
    <w:tmpl w:val="438484BC"/>
    <w:lvl w:ilvl="0" w:tplc="386A9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B22E60"/>
    <w:multiLevelType w:val="hybridMultilevel"/>
    <w:tmpl w:val="A39AE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420920"/>
    <w:multiLevelType w:val="hybridMultilevel"/>
    <w:tmpl w:val="6BC02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7"/>
  </w:num>
  <w:num w:numId="4">
    <w:abstractNumId w:val="6"/>
  </w:num>
  <w:num w:numId="5">
    <w:abstractNumId w:val="4"/>
  </w:num>
  <w:num w:numId="6">
    <w:abstractNumId w:val="9"/>
  </w:num>
  <w:num w:numId="7">
    <w:abstractNumId w:val="2"/>
  </w:num>
  <w:num w:numId="8">
    <w:abstractNumId w:val="8"/>
  </w:num>
  <w:num w:numId="9">
    <w:abstractNumId w:val="5"/>
  </w:num>
  <w:num w:numId="10">
    <w:abstractNumId w:val="10"/>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dy Kamphaus">
    <w15:presenceInfo w15:providerId="AD" w15:userId="S-1-5-21-2613503727-1553357937-2150718590-172182"/>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90"/>
    <w:rsid w:val="00002AFD"/>
    <w:rsid w:val="000050F3"/>
    <w:rsid w:val="00013335"/>
    <w:rsid w:val="000230AB"/>
    <w:rsid w:val="000231E3"/>
    <w:rsid w:val="00051EC2"/>
    <w:rsid w:val="00055B5D"/>
    <w:rsid w:val="00060421"/>
    <w:rsid w:val="000753F4"/>
    <w:rsid w:val="000823C4"/>
    <w:rsid w:val="00083650"/>
    <w:rsid w:val="00090E57"/>
    <w:rsid w:val="00095488"/>
    <w:rsid w:val="000A3767"/>
    <w:rsid w:val="000C6BE5"/>
    <w:rsid w:val="000D0A6C"/>
    <w:rsid w:val="000D2221"/>
    <w:rsid w:val="000F3439"/>
    <w:rsid w:val="00101E48"/>
    <w:rsid w:val="00104A53"/>
    <w:rsid w:val="00120699"/>
    <w:rsid w:val="0013476A"/>
    <w:rsid w:val="0013634D"/>
    <w:rsid w:val="001402A2"/>
    <w:rsid w:val="00141D39"/>
    <w:rsid w:val="001520A9"/>
    <w:rsid w:val="00152AAF"/>
    <w:rsid w:val="00160285"/>
    <w:rsid w:val="00161752"/>
    <w:rsid w:val="00171E27"/>
    <w:rsid w:val="001808CA"/>
    <w:rsid w:val="00187219"/>
    <w:rsid w:val="001925DD"/>
    <w:rsid w:val="00192762"/>
    <w:rsid w:val="00193FC9"/>
    <w:rsid w:val="00196C2D"/>
    <w:rsid w:val="001A2046"/>
    <w:rsid w:val="001A33AE"/>
    <w:rsid w:val="001A4EEC"/>
    <w:rsid w:val="001B453E"/>
    <w:rsid w:val="001B6CD7"/>
    <w:rsid w:val="001B7980"/>
    <w:rsid w:val="001C7018"/>
    <w:rsid w:val="001C7FE4"/>
    <w:rsid w:val="001D00FB"/>
    <w:rsid w:val="001D71FF"/>
    <w:rsid w:val="001E01AA"/>
    <w:rsid w:val="001E068D"/>
    <w:rsid w:val="001E199A"/>
    <w:rsid w:val="001F0956"/>
    <w:rsid w:val="001F11BA"/>
    <w:rsid w:val="001F3B33"/>
    <w:rsid w:val="001F50BD"/>
    <w:rsid w:val="001F55E3"/>
    <w:rsid w:val="001F67A1"/>
    <w:rsid w:val="0020031E"/>
    <w:rsid w:val="00202730"/>
    <w:rsid w:val="002029E3"/>
    <w:rsid w:val="00204E23"/>
    <w:rsid w:val="0020606F"/>
    <w:rsid w:val="0021202F"/>
    <w:rsid w:val="002149FD"/>
    <w:rsid w:val="00214A14"/>
    <w:rsid w:val="00217A0B"/>
    <w:rsid w:val="00221121"/>
    <w:rsid w:val="00221E68"/>
    <w:rsid w:val="00227213"/>
    <w:rsid w:val="00241400"/>
    <w:rsid w:val="002435FF"/>
    <w:rsid w:val="00250500"/>
    <w:rsid w:val="00250686"/>
    <w:rsid w:val="0025185B"/>
    <w:rsid w:val="00256544"/>
    <w:rsid w:val="0025679E"/>
    <w:rsid w:val="002629BD"/>
    <w:rsid w:val="00264079"/>
    <w:rsid w:val="00264491"/>
    <w:rsid w:val="00267957"/>
    <w:rsid w:val="00270FD8"/>
    <w:rsid w:val="0027438E"/>
    <w:rsid w:val="00275D57"/>
    <w:rsid w:val="00277F11"/>
    <w:rsid w:val="00290AD1"/>
    <w:rsid w:val="002922D8"/>
    <w:rsid w:val="002A0010"/>
    <w:rsid w:val="002A5141"/>
    <w:rsid w:val="002B065C"/>
    <w:rsid w:val="002B2E92"/>
    <w:rsid w:val="002C1579"/>
    <w:rsid w:val="002C46A9"/>
    <w:rsid w:val="002D0285"/>
    <w:rsid w:val="002D4B39"/>
    <w:rsid w:val="002D6D91"/>
    <w:rsid w:val="002D7166"/>
    <w:rsid w:val="002E250B"/>
    <w:rsid w:val="002F1AF2"/>
    <w:rsid w:val="00305E2A"/>
    <w:rsid w:val="00331283"/>
    <w:rsid w:val="0033330A"/>
    <w:rsid w:val="00337B44"/>
    <w:rsid w:val="00342F87"/>
    <w:rsid w:val="003546A4"/>
    <w:rsid w:val="00360666"/>
    <w:rsid w:val="0036411A"/>
    <w:rsid w:val="00367BCB"/>
    <w:rsid w:val="00373E7F"/>
    <w:rsid w:val="00376ED5"/>
    <w:rsid w:val="00381590"/>
    <w:rsid w:val="003869CA"/>
    <w:rsid w:val="00386B76"/>
    <w:rsid w:val="003A1287"/>
    <w:rsid w:val="003A33CC"/>
    <w:rsid w:val="003A5160"/>
    <w:rsid w:val="003A5162"/>
    <w:rsid w:val="003A55DC"/>
    <w:rsid w:val="003B3CD0"/>
    <w:rsid w:val="003B41A6"/>
    <w:rsid w:val="003C2383"/>
    <w:rsid w:val="003E31B7"/>
    <w:rsid w:val="003E3C31"/>
    <w:rsid w:val="003E7F34"/>
    <w:rsid w:val="003F1B14"/>
    <w:rsid w:val="004004BA"/>
    <w:rsid w:val="00413B27"/>
    <w:rsid w:val="00424C8C"/>
    <w:rsid w:val="00431188"/>
    <w:rsid w:val="004341F6"/>
    <w:rsid w:val="004347AD"/>
    <w:rsid w:val="00437A64"/>
    <w:rsid w:val="00456A34"/>
    <w:rsid w:val="00463D06"/>
    <w:rsid w:val="00465ED4"/>
    <w:rsid w:val="00467497"/>
    <w:rsid w:val="004675A9"/>
    <w:rsid w:val="004717A9"/>
    <w:rsid w:val="00472780"/>
    <w:rsid w:val="00481CEA"/>
    <w:rsid w:val="00482FC2"/>
    <w:rsid w:val="00486E82"/>
    <w:rsid w:val="00492CBA"/>
    <w:rsid w:val="00493135"/>
    <w:rsid w:val="004A5119"/>
    <w:rsid w:val="004B2A2F"/>
    <w:rsid w:val="004B5D1B"/>
    <w:rsid w:val="004B710A"/>
    <w:rsid w:val="004B7EEC"/>
    <w:rsid w:val="004D171C"/>
    <w:rsid w:val="004E4FDE"/>
    <w:rsid w:val="00503A45"/>
    <w:rsid w:val="005065E0"/>
    <w:rsid w:val="005174FB"/>
    <w:rsid w:val="0054308D"/>
    <w:rsid w:val="00545EDE"/>
    <w:rsid w:val="00556E4B"/>
    <w:rsid w:val="00561135"/>
    <w:rsid w:val="00561A8F"/>
    <w:rsid w:val="0056799E"/>
    <w:rsid w:val="00571884"/>
    <w:rsid w:val="005814A8"/>
    <w:rsid w:val="00585171"/>
    <w:rsid w:val="00585896"/>
    <w:rsid w:val="0059530F"/>
    <w:rsid w:val="005A1552"/>
    <w:rsid w:val="005A1AFA"/>
    <w:rsid w:val="005A7998"/>
    <w:rsid w:val="005B5870"/>
    <w:rsid w:val="005C4978"/>
    <w:rsid w:val="005D1A9F"/>
    <w:rsid w:val="005D4452"/>
    <w:rsid w:val="005D5DCB"/>
    <w:rsid w:val="005D7EE5"/>
    <w:rsid w:val="005E0A6D"/>
    <w:rsid w:val="005E515D"/>
    <w:rsid w:val="00601DD7"/>
    <w:rsid w:val="0060263B"/>
    <w:rsid w:val="00606E23"/>
    <w:rsid w:val="00607F19"/>
    <w:rsid w:val="00612638"/>
    <w:rsid w:val="0061436C"/>
    <w:rsid w:val="00616F06"/>
    <w:rsid w:val="00620320"/>
    <w:rsid w:val="006208F9"/>
    <w:rsid w:val="006234D6"/>
    <w:rsid w:val="0062788F"/>
    <w:rsid w:val="00630DA2"/>
    <w:rsid w:val="006347D5"/>
    <w:rsid w:val="006361F8"/>
    <w:rsid w:val="00647ABD"/>
    <w:rsid w:val="00652739"/>
    <w:rsid w:val="00656BD6"/>
    <w:rsid w:val="00664192"/>
    <w:rsid w:val="00670450"/>
    <w:rsid w:val="00677B08"/>
    <w:rsid w:val="00681BDE"/>
    <w:rsid w:val="00682C14"/>
    <w:rsid w:val="00684F52"/>
    <w:rsid w:val="006914F7"/>
    <w:rsid w:val="0069720E"/>
    <w:rsid w:val="00697C37"/>
    <w:rsid w:val="006A2A9B"/>
    <w:rsid w:val="006B41A2"/>
    <w:rsid w:val="006D2D20"/>
    <w:rsid w:val="006D411B"/>
    <w:rsid w:val="006D7AA5"/>
    <w:rsid w:val="006E09C4"/>
    <w:rsid w:val="006E4907"/>
    <w:rsid w:val="006F1090"/>
    <w:rsid w:val="006F1478"/>
    <w:rsid w:val="006F27F9"/>
    <w:rsid w:val="006F4486"/>
    <w:rsid w:val="006F66E7"/>
    <w:rsid w:val="00706CB1"/>
    <w:rsid w:val="00711B6C"/>
    <w:rsid w:val="00712B30"/>
    <w:rsid w:val="00715621"/>
    <w:rsid w:val="007171B6"/>
    <w:rsid w:val="007178AF"/>
    <w:rsid w:val="00723EF7"/>
    <w:rsid w:val="0072560C"/>
    <w:rsid w:val="00730442"/>
    <w:rsid w:val="00737727"/>
    <w:rsid w:val="007404BA"/>
    <w:rsid w:val="00753A6D"/>
    <w:rsid w:val="00754B53"/>
    <w:rsid w:val="007565F2"/>
    <w:rsid w:val="00761FF0"/>
    <w:rsid w:val="007670EB"/>
    <w:rsid w:val="00770952"/>
    <w:rsid w:val="0077216B"/>
    <w:rsid w:val="00774738"/>
    <w:rsid w:val="00797B68"/>
    <w:rsid w:val="007B119A"/>
    <w:rsid w:val="007B23AC"/>
    <w:rsid w:val="007B63E6"/>
    <w:rsid w:val="007C1E72"/>
    <w:rsid w:val="007C491C"/>
    <w:rsid w:val="007D0083"/>
    <w:rsid w:val="007D45C3"/>
    <w:rsid w:val="007E7F7D"/>
    <w:rsid w:val="007F434C"/>
    <w:rsid w:val="007F4446"/>
    <w:rsid w:val="007F7493"/>
    <w:rsid w:val="00801C6B"/>
    <w:rsid w:val="008032AF"/>
    <w:rsid w:val="008034F8"/>
    <w:rsid w:val="0081049E"/>
    <w:rsid w:val="00812D34"/>
    <w:rsid w:val="00825647"/>
    <w:rsid w:val="00827FDA"/>
    <w:rsid w:val="00830153"/>
    <w:rsid w:val="00831F34"/>
    <w:rsid w:val="008321BD"/>
    <w:rsid w:val="00832724"/>
    <w:rsid w:val="00834DB2"/>
    <w:rsid w:val="00841024"/>
    <w:rsid w:val="00844B8F"/>
    <w:rsid w:val="00846EA2"/>
    <w:rsid w:val="008531D9"/>
    <w:rsid w:val="008569D8"/>
    <w:rsid w:val="0086336A"/>
    <w:rsid w:val="00876BF9"/>
    <w:rsid w:val="00882887"/>
    <w:rsid w:val="008849B5"/>
    <w:rsid w:val="00890313"/>
    <w:rsid w:val="00896187"/>
    <w:rsid w:val="008A335F"/>
    <w:rsid w:val="008B6770"/>
    <w:rsid w:val="008D20BB"/>
    <w:rsid w:val="008D22A1"/>
    <w:rsid w:val="008E6FC9"/>
    <w:rsid w:val="008F0E12"/>
    <w:rsid w:val="008F7E70"/>
    <w:rsid w:val="00912F86"/>
    <w:rsid w:val="00923923"/>
    <w:rsid w:val="00934CC3"/>
    <w:rsid w:val="00954166"/>
    <w:rsid w:val="00956EBC"/>
    <w:rsid w:val="00961C61"/>
    <w:rsid w:val="00966E21"/>
    <w:rsid w:val="00973319"/>
    <w:rsid w:val="00976707"/>
    <w:rsid w:val="00982F7B"/>
    <w:rsid w:val="009840FC"/>
    <w:rsid w:val="00984D5C"/>
    <w:rsid w:val="00987BF7"/>
    <w:rsid w:val="009964EE"/>
    <w:rsid w:val="009965DA"/>
    <w:rsid w:val="009A2A12"/>
    <w:rsid w:val="009A4150"/>
    <w:rsid w:val="009A767B"/>
    <w:rsid w:val="009C2712"/>
    <w:rsid w:val="009C3309"/>
    <w:rsid w:val="009C68C4"/>
    <w:rsid w:val="009D1CB2"/>
    <w:rsid w:val="009D24A7"/>
    <w:rsid w:val="009E39C5"/>
    <w:rsid w:val="009E41F6"/>
    <w:rsid w:val="009E5FF8"/>
    <w:rsid w:val="009F0FC5"/>
    <w:rsid w:val="009F4D07"/>
    <w:rsid w:val="00A00393"/>
    <w:rsid w:val="00A00B62"/>
    <w:rsid w:val="00A0163D"/>
    <w:rsid w:val="00A13DC7"/>
    <w:rsid w:val="00A3121C"/>
    <w:rsid w:val="00A36A9B"/>
    <w:rsid w:val="00A41693"/>
    <w:rsid w:val="00A52167"/>
    <w:rsid w:val="00A534FB"/>
    <w:rsid w:val="00A56EB8"/>
    <w:rsid w:val="00A60E5E"/>
    <w:rsid w:val="00A63636"/>
    <w:rsid w:val="00A66751"/>
    <w:rsid w:val="00A734A7"/>
    <w:rsid w:val="00A76EA5"/>
    <w:rsid w:val="00A77350"/>
    <w:rsid w:val="00A839D9"/>
    <w:rsid w:val="00A83BC7"/>
    <w:rsid w:val="00A91AC9"/>
    <w:rsid w:val="00AA0112"/>
    <w:rsid w:val="00AA091C"/>
    <w:rsid w:val="00AA0D77"/>
    <w:rsid w:val="00AB6725"/>
    <w:rsid w:val="00AC3B2C"/>
    <w:rsid w:val="00AC5AEB"/>
    <w:rsid w:val="00AC6BB2"/>
    <w:rsid w:val="00AC6F17"/>
    <w:rsid w:val="00AE5609"/>
    <w:rsid w:val="00AF0C16"/>
    <w:rsid w:val="00AF15D0"/>
    <w:rsid w:val="00AF2139"/>
    <w:rsid w:val="00B16514"/>
    <w:rsid w:val="00B355EA"/>
    <w:rsid w:val="00B46A52"/>
    <w:rsid w:val="00B46D90"/>
    <w:rsid w:val="00B706B9"/>
    <w:rsid w:val="00B86D3C"/>
    <w:rsid w:val="00B94260"/>
    <w:rsid w:val="00B947B9"/>
    <w:rsid w:val="00B96C04"/>
    <w:rsid w:val="00BB12AE"/>
    <w:rsid w:val="00BB2884"/>
    <w:rsid w:val="00BB49A9"/>
    <w:rsid w:val="00BC076A"/>
    <w:rsid w:val="00BC6BCE"/>
    <w:rsid w:val="00BD4611"/>
    <w:rsid w:val="00BE0575"/>
    <w:rsid w:val="00BF3A05"/>
    <w:rsid w:val="00BF6281"/>
    <w:rsid w:val="00C04EBA"/>
    <w:rsid w:val="00C07BAB"/>
    <w:rsid w:val="00C100A4"/>
    <w:rsid w:val="00C10279"/>
    <w:rsid w:val="00C14EDF"/>
    <w:rsid w:val="00C2279C"/>
    <w:rsid w:val="00C25A40"/>
    <w:rsid w:val="00C31F78"/>
    <w:rsid w:val="00C33F71"/>
    <w:rsid w:val="00C37253"/>
    <w:rsid w:val="00C42629"/>
    <w:rsid w:val="00C52EBE"/>
    <w:rsid w:val="00C61106"/>
    <w:rsid w:val="00C62EA9"/>
    <w:rsid w:val="00C63F9B"/>
    <w:rsid w:val="00C67012"/>
    <w:rsid w:val="00C74C1A"/>
    <w:rsid w:val="00C76ADF"/>
    <w:rsid w:val="00C777BE"/>
    <w:rsid w:val="00C85D41"/>
    <w:rsid w:val="00C875DD"/>
    <w:rsid w:val="00C92E47"/>
    <w:rsid w:val="00C93900"/>
    <w:rsid w:val="00CA0049"/>
    <w:rsid w:val="00CA2224"/>
    <w:rsid w:val="00CA5D54"/>
    <w:rsid w:val="00CA7821"/>
    <w:rsid w:val="00CB468F"/>
    <w:rsid w:val="00CB5F6F"/>
    <w:rsid w:val="00CC2600"/>
    <w:rsid w:val="00CD7054"/>
    <w:rsid w:val="00CE333E"/>
    <w:rsid w:val="00CE43AC"/>
    <w:rsid w:val="00CF23AF"/>
    <w:rsid w:val="00D043B3"/>
    <w:rsid w:val="00D15811"/>
    <w:rsid w:val="00D201EE"/>
    <w:rsid w:val="00D2614A"/>
    <w:rsid w:val="00D31D68"/>
    <w:rsid w:val="00D5073E"/>
    <w:rsid w:val="00D54BF1"/>
    <w:rsid w:val="00D614C1"/>
    <w:rsid w:val="00D830BD"/>
    <w:rsid w:val="00D84F6E"/>
    <w:rsid w:val="00D87C77"/>
    <w:rsid w:val="00D92289"/>
    <w:rsid w:val="00DA2923"/>
    <w:rsid w:val="00DA4A96"/>
    <w:rsid w:val="00DA4E11"/>
    <w:rsid w:val="00DA60C5"/>
    <w:rsid w:val="00DB3C7C"/>
    <w:rsid w:val="00DC1786"/>
    <w:rsid w:val="00DE128C"/>
    <w:rsid w:val="00DF090F"/>
    <w:rsid w:val="00DF1FB5"/>
    <w:rsid w:val="00DF43B9"/>
    <w:rsid w:val="00DF44C5"/>
    <w:rsid w:val="00DF4AE6"/>
    <w:rsid w:val="00DF4F20"/>
    <w:rsid w:val="00DF5ED8"/>
    <w:rsid w:val="00E0042E"/>
    <w:rsid w:val="00E04D39"/>
    <w:rsid w:val="00E06DA8"/>
    <w:rsid w:val="00E07523"/>
    <w:rsid w:val="00E15119"/>
    <w:rsid w:val="00E50F20"/>
    <w:rsid w:val="00E5153B"/>
    <w:rsid w:val="00E553AE"/>
    <w:rsid w:val="00E567A2"/>
    <w:rsid w:val="00E72531"/>
    <w:rsid w:val="00E76465"/>
    <w:rsid w:val="00E81FB6"/>
    <w:rsid w:val="00E833FB"/>
    <w:rsid w:val="00E87C12"/>
    <w:rsid w:val="00E87D3D"/>
    <w:rsid w:val="00E914C7"/>
    <w:rsid w:val="00E95AF3"/>
    <w:rsid w:val="00E96365"/>
    <w:rsid w:val="00EB1577"/>
    <w:rsid w:val="00EB36D9"/>
    <w:rsid w:val="00EB6CAA"/>
    <w:rsid w:val="00EC1121"/>
    <w:rsid w:val="00EC1A44"/>
    <w:rsid w:val="00EC2EBF"/>
    <w:rsid w:val="00EC4E5B"/>
    <w:rsid w:val="00EC7E3D"/>
    <w:rsid w:val="00ED52E8"/>
    <w:rsid w:val="00EF4897"/>
    <w:rsid w:val="00F01C20"/>
    <w:rsid w:val="00F11096"/>
    <w:rsid w:val="00F17838"/>
    <w:rsid w:val="00F20E9F"/>
    <w:rsid w:val="00F229C1"/>
    <w:rsid w:val="00F24FF0"/>
    <w:rsid w:val="00F253C3"/>
    <w:rsid w:val="00F26CC4"/>
    <w:rsid w:val="00F35C8E"/>
    <w:rsid w:val="00F41DDF"/>
    <w:rsid w:val="00F4285F"/>
    <w:rsid w:val="00F50EF7"/>
    <w:rsid w:val="00F62EBF"/>
    <w:rsid w:val="00F75A8E"/>
    <w:rsid w:val="00F765F5"/>
    <w:rsid w:val="00F821BB"/>
    <w:rsid w:val="00F8345E"/>
    <w:rsid w:val="00F84432"/>
    <w:rsid w:val="00F84541"/>
    <w:rsid w:val="00F859C9"/>
    <w:rsid w:val="00F93EF7"/>
    <w:rsid w:val="00F95219"/>
    <w:rsid w:val="00FA7784"/>
    <w:rsid w:val="00FB4D7B"/>
    <w:rsid w:val="00FC0931"/>
    <w:rsid w:val="00FC246A"/>
    <w:rsid w:val="00FC442B"/>
    <w:rsid w:val="00FC53ED"/>
    <w:rsid w:val="00FD01B1"/>
    <w:rsid w:val="00FD55C6"/>
    <w:rsid w:val="00FF141F"/>
    <w:rsid w:val="00FF1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1F795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7350"/>
    <w:pPr>
      <w:tabs>
        <w:tab w:val="center" w:pos="4320"/>
        <w:tab w:val="right" w:pos="8640"/>
      </w:tabs>
    </w:pPr>
  </w:style>
  <w:style w:type="character" w:customStyle="1" w:styleId="FooterChar">
    <w:name w:val="Footer Char"/>
    <w:basedOn w:val="DefaultParagraphFont"/>
    <w:link w:val="Footer"/>
    <w:uiPriority w:val="99"/>
    <w:rsid w:val="00A77350"/>
  </w:style>
  <w:style w:type="character" w:styleId="PageNumber">
    <w:name w:val="page number"/>
    <w:basedOn w:val="DefaultParagraphFont"/>
    <w:uiPriority w:val="99"/>
    <w:semiHidden/>
    <w:unhideWhenUsed/>
    <w:rsid w:val="00A77350"/>
  </w:style>
  <w:style w:type="paragraph" w:styleId="ListParagraph">
    <w:name w:val="List Paragraph"/>
    <w:basedOn w:val="Normal"/>
    <w:uiPriority w:val="34"/>
    <w:qFormat/>
    <w:rsid w:val="00202730"/>
    <w:pPr>
      <w:ind w:left="720"/>
      <w:contextualSpacing/>
    </w:pPr>
  </w:style>
  <w:style w:type="paragraph" w:styleId="Header">
    <w:name w:val="header"/>
    <w:basedOn w:val="Normal"/>
    <w:link w:val="HeaderChar"/>
    <w:uiPriority w:val="99"/>
    <w:unhideWhenUsed/>
    <w:rsid w:val="006234D6"/>
    <w:pPr>
      <w:tabs>
        <w:tab w:val="center" w:pos="4320"/>
        <w:tab w:val="right" w:pos="8640"/>
      </w:tabs>
    </w:pPr>
  </w:style>
  <w:style w:type="character" w:customStyle="1" w:styleId="HeaderChar">
    <w:name w:val="Header Char"/>
    <w:basedOn w:val="DefaultParagraphFont"/>
    <w:link w:val="Header"/>
    <w:uiPriority w:val="99"/>
    <w:rsid w:val="006234D6"/>
  </w:style>
  <w:style w:type="character" w:styleId="CommentReference">
    <w:name w:val="annotation reference"/>
    <w:basedOn w:val="DefaultParagraphFont"/>
    <w:uiPriority w:val="99"/>
    <w:semiHidden/>
    <w:unhideWhenUsed/>
    <w:rsid w:val="00961C61"/>
    <w:rPr>
      <w:sz w:val="16"/>
      <w:szCs w:val="16"/>
    </w:rPr>
  </w:style>
  <w:style w:type="paragraph" w:styleId="CommentText">
    <w:name w:val="annotation text"/>
    <w:basedOn w:val="Normal"/>
    <w:link w:val="CommentTextChar"/>
    <w:uiPriority w:val="99"/>
    <w:semiHidden/>
    <w:unhideWhenUsed/>
    <w:rsid w:val="00961C61"/>
    <w:rPr>
      <w:sz w:val="20"/>
      <w:szCs w:val="20"/>
    </w:rPr>
  </w:style>
  <w:style w:type="character" w:customStyle="1" w:styleId="CommentTextChar">
    <w:name w:val="Comment Text Char"/>
    <w:basedOn w:val="DefaultParagraphFont"/>
    <w:link w:val="CommentText"/>
    <w:uiPriority w:val="99"/>
    <w:semiHidden/>
    <w:rsid w:val="00961C61"/>
    <w:rPr>
      <w:sz w:val="20"/>
      <w:szCs w:val="20"/>
    </w:rPr>
  </w:style>
  <w:style w:type="paragraph" w:styleId="CommentSubject">
    <w:name w:val="annotation subject"/>
    <w:basedOn w:val="CommentText"/>
    <w:next w:val="CommentText"/>
    <w:link w:val="CommentSubjectChar"/>
    <w:uiPriority w:val="99"/>
    <w:semiHidden/>
    <w:unhideWhenUsed/>
    <w:rsid w:val="00961C61"/>
    <w:rPr>
      <w:b/>
      <w:bCs/>
    </w:rPr>
  </w:style>
  <w:style w:type="character" w:customStyle="1" w:styleId="CommentSubjectChar">
    <w:name w:val="Comment Subject Char"/>
    <w:basedOn w:val="CommentTextChar"/>
    <w:link w:val="CommentSubject"/>
    <w:uiPriority w:val="99"/>
    <w:semiHidden/>
    <w:rsid w:val="00961C61"/>
    <w:rPr>
      <w:b/>
      <w:bCs/>
      <w:sz w:val="20"/>
      <w:szCs w:val="20"/>
    </w:rPr>
  </w:style>
  <w:style w:type="paragraph" w:styleId="BalloonText">
    <w:name w:val="Balloon Text"/>
    <w:basedOn w:val="Normal"/>
    <w:link w:val="BalloonTextChar"/>
    <w:uiPriority w:val="99"/>
    <w:semiHidden/>
    <w:unhideWhenUsed/>
    <w:rsid w:val="00961C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C61"/>
    <w:rPr>
      <w:rFonts w:ascii="Segoe UI" w:hAnsi="Segoe UI" w:cs="Segoe UI"/>
      <w:sz w:val="18"/>
      <w:szCs w:val="18"/>
    </w:rPr>
  </w:style>
  <w:style w:type="paragraph" w:styleId="Revision">
    <w:name w:val="Revision"/>
    <w:hidden/>
    <w:uiPriority w:val="99"/>
    <w:semiHidden/>
    <w:rsid w:val="00C33F71"/>
  </w:style>
  <w:style w:type="paragraph" w:customStyle="1" w:styleId="s10">
    <w:name w:val="s10"/>
    <w:basedOn w:val="Normal"/>
    <w:rsid w:val="005E0A6D"/>
    <w:pPr>
      <w:spacing w:before="100" w:beforeAutospacing="1" w:after="100" w:afterAutospacing="1"/>
    </w:pPr>
    <w:rPr>
      <w:rFonts w:ascii="Times" w:hAnsi="Times"/>
      <w:sz w:val="20"/>
      <w:szCs w:val="20"/>
    </w:rPr>
  </w:style>
  <w:style w:type="character" w:customStyle="1" w:styleId="s2">
    <w:name w:val="s2"/>
    <w:basedOn w:val="DefaultParagraphFont"/>
    <w:rsid w:val="005E0A6D"/>
  </w:style>
  <w:style w:type="paragraph" w:customStyle="1" w:styleId="s3">
    <w:name w:val="s3"/>
    <w:basedOn w:val="Normal"/>
    <w:rsid w:val="005E0A6D"/>
    <w:pPr>
      <w:spacing w:before="100" w:beforeAutospacing="1" w:after="100" w:afterAutospacing="1"/>
    </w:pPr>
    <w:rPr>
      <w:rFonts w:ascii="Times" w:hAnsi="Times"/>
      <w:sz w:val="20"/>
      <w:szCs w:val="20"/>
    </w:rPr>
  </w:style>
  <w:style w:type="character" w:customStyle="1" w:styleId="s8">
    <w:name w:val="s8"/>
    <w:basedOn w:val="DefaultParagraphFont"/>
    <w:rsid w:val="005E0A6D"/>
  </w:style>
  <w:style w:type="paragraph" w:customStyle="1" w:styleId="s11">
    <w:name w:val="s11"/>
    <w:basedOn w:val="Normal"/>
    <w:rsid w:val="005E0A6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E0A6D"/>
  </w:style>
  <w:style w:type="paragraph" w:styleId="NormalWeb">
    <w:name w:val="Normal (Web)"/>
    <w:basedOn w:val="Normal"/>
    <w:uiPriority w:val="99"/>
    <w:semiHidden/>
    <w:unhideWhenUsed/>
    <w:rsid w:val="005E0A6D"/>
    <w:pPr>
      <w:spacing w:before="100" w:beforeAutospacing="1" w:after="100" w:afterAutospacing="1"/>
    </w:pPr>
    <w:rPr>
      <w:rFonts w:ascii="Times" w:hAnsi="Times" w:cs="Times New Roman"/>
      <w:sz w:val="20"/>
      <w:szCs w:val="20"/>
    </w:rPr>
  </w:style>
  <w:style w:type="character" w:customStyle="1" w:styleId="s15">
    <w:name w:val="s15"/>
    <w:basedOn w:val="DefaultParagraphFont"/>
    <w:rsid w:val="005E0A6D"/>
  </w:style>
  <w:style w:type="character" w:customStyle="1" w:styleId="s16">
    <w:name w:val="s16"/>
    <w:basedOn w:val="DefaultParagraphFont"/>
    <w:rsid w:val="005E0A6D"/>
  </w:style>
  <w:style w:type="character" w:customStyle="1" w:styleId="s7">
    <w:name w:val="s7"/>
    <w:basedOn w:val="DefaultParagraphFont"/>
    <w:rsid w:val="005E0A6D"/>
  </w:style>
  <w:style w:type="paragraph" w:customStyle="1" w:styleId="s6">
    <w:name w:val="s6"/>
    <w:basedOn w:val="Normal"/>
    <w:rsid w:val="005E0A6D"/>
    <w:pPr>
      <w:spacing w:before="100" w:beforeAutospacing="1" w:after="100" w:afterAutospacing="1"/>
    </w:pPr>
    <w:rPr>
      <w:rFonts w:ascii="Times" w:hAnsi="Times"/>
      <w:sz w:val="20"/>
      <w:szCs w:val="20"/>
    </w:rPr>
  </w:style>
  <w:style w:type="paragraph" w:customStyle="1" w:styleId="s17">
    <w:name w:val="s17"/>
    <w:basedOn w:val="Normal"/>
    <w:rsid w:val="005E0A6D"/>
    <w:pPr>
      <w:spacing w:before="100" w:beforeAutospacing="1" w:after="100" w:afterAutospacing="1"/>
    </w:pPr>
    <w:rPr>
      <w:rFonts w:ascii="Times" w:hAnsi="Times"/>
      <w:sz w:val="20"/>
      <w:szCs w:val="20"/>
    </w:rPr>
  </w:style>
  <w:style w:type="paragraph" w:customStyle="1" w:styleId="Body">
    <w:name w:val="Body"/>
    <w:rsid w:val="002629B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39"/>
    <w:rsid w:val="002629BD"/>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2289"/>
    <w:rPr>
      <w:color w:val="0000FF" w:themeColor="hyperlink"/>
      <w:u w:val="single"/>
    </w:rPr>
  </w:style>
  <w:style w:type="character" w:styleId="FollowedHyperlink">
    <w:name w:val="FollowedHyperlink"/>
    <w:basedOn w:val="DefaultParagraphFont"/>
    <w:uiPriority w:val="99"/>
    <w:semiHidden/>
    <w:unhideWhenUsed/>
    <w:rsid w:val="003546A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7350"/>
    <w:pPr>
      <w:tabs>
        <w:tab w:val="center" w:pos="4320"/>
        <w:tab w:val="right" w:pos="8640"/>
      </w:tabs>
    </w:pPr>
  </w:style>
  <w:style w:type="character" w:customStyle="1" w:styleId="FooterChar">
    <w:name w:val="Footer Char"/>
    <w:basedOn w:val="DefaultParagraphFont"/>
    <w:link w:val="Footer"/>
    <w:uiPriority w:val="99"/>
    <w:rsid w:val="00A77350"/>
  </w:style>
  <w:style w:type="character" w:styleId="PageNumber">
    <w:name w:val="page number"/>
    <w:basedOn w:val="DefaultParagraphFont"/>
    <w:uiPriority w:val="99"/>
    <w:semiHidden/>
    <w:unhideWhenUsed/>
    <w:rsid w:val="00A77350"/>
  </w:style>
  <w:style w:type="paragraph" w:styleId="ListParagraph">
    <w:name w:val="List Paragraph"/>
    <w:basedOn w:val="Normal"/>
    <w:uiPriority w:val="34"/>
    <w:qFormat/>
    <w:rsid w:val="00202730"/>
    <w:pPr>
      <w:ind w:left="720"/>
      <w:contextualSpacing/>
    </w:pPr>
  </w:style>
  <w:style w:type="paragraph" w:styleId="Header">
    <w:name w:val="header"/>
    <w:basedOn w:val="Normal"/>
    <w:link w:val="HeaderChar"/>
    <w:uiPriority w:val="99"/>
    <w:unhideWhenUsed/>
    <w:rsid w:val="006234D6"/>
    <w:pPr>
      <w:tabs>
        <w:tab w:val="center" w:pos="4320"/>
        <w:tab w:val="right" w:pos="8640"/>
      </w:tabs>
    </w:pPr>
  </w:style>
  <w:style w:type="character" w:customStyle="1" w:styleId="HeaderChar">
    <w:name w:val="Header Char"/>
    <w:basedOn w:val="DefaultParagraphFont"/>
    <w:link w:val="Header"/>
    <w:uiPriority w:val="99"/>
    <w:rsid w:val="006234D6"/>
  </w:style>
  <w:style w:type="character" w:styleId="CommentReference">
    <w:name w:val="annotation reference"/>
    <w:basedOn w:val="DefaultParagraphFont"/>
    <w:uiPriority w:val="99"/>
    <w:semiHidden/>
    <w:unhideWhenUsed/>
    <w:rsid w:val="00961C61"/>
    <w:rPr>
      <w:sz w:val="16"/>
      <w:szCs w:val="16"/>
    </w:rPr>
  </w:style>
  <w:style w:type="paragraph" w:styleId="CommentText">
    <w:name w:val="annotation text"/>
    <w:basedOn w:val="Normal"/>
    <w:link w:val="CommentTextChar"/>
    <w:uiPriority w:val="99"/>
    <w:semiHidden/>
    <w:unhideWhenUsed/>
    <w:rsid w:val="00961C61"/>
    <w:rPr>
      <w:sz w:val="20"/>
      <w:szCs w:val="20"/>
    </w:rPr>
  </w:style>
  <w:style w:type="character" w:customStyle="1" w:styleId="CommentTextChar">
    <w:name w:val="Comment Text Char"/>
    <w:basedOn w:val="DefaultParagraphFont"/>
    <w:link w:val="CommentText"/>
    <w:uiPriority w:val="99"/>
    <w:semiHidden/>
    <w:rsid w:val="00961C61"/>
    <w:rPr>
      <w:sz w:val="20"/>
      <w:szCs w:val="20"/>
    </w:rPr>
  </w:style>
  <w:style w:type="paragraph" w:styleId="CommentSubject">
    <w:name w:val="annotation subject"/>
    <w:basedOn w:val="CommentText"/>
    <w:next w:val="CommentText"/>
    <w:link w:val="CommentSubjectChar"/>
    <w:uiPriority w:val="99"/>
    <w:semiHidden/>
    <w:unhideWhenUsed/>
    <w:rsid w:val="00961C61"/>
    <w:rPr>
      <w:b/>
      <w:bCs/>
    </w:rPr>
  </w:style>
  <w:style w:type="character" w:customStyle="1" w:styleId="CommentSubjectChar">
    <w:name w:val="Comment Subject Char"/>
    <w:basedOn w:val="CommentTextChar"/>
    <w:link w:val="CommentSubject"/>
    <w:uiPriority w:val="99"/>
    <w:semiHidden/>
    <w:rsid w:val="00961C61"/>
    <w:rPr>
      <w:b/>
      <w:bCs/>
      <w:sz w:val="20"/>
      <w:szCs w:val="20"/>
    </w:rPr>
  </w:style>
  <w:style w:type="paragraph" w:styleId="BalloonText">
    <w:name w:val="Balloon Text"/>
    <w:basedOn w:val="Normal"/>
    <w:link w:val="BalloonTextChar"/>
    <w:uiPriority w:val="99"/>
    <w:semiHidden/>
    <w:unhideWhenUsed/>
    <w:rsid w:val="00961C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C61"/>
    <w:rPr>
      <w:rFonts w:ascii="Segoe UI" w:hAnsi="Segoe UI" w:cs="Segoe UI"/>
      <w:sz w:val="18"/>
      <w:szCs w:val="18"/>
    </w:rPr>
  </w:style>
  <w:style w:type="paragraph" w:styleId="Revision">
    <w:name w:val="Revision"/>
    <w:hidden/>
    <w:uiPriority w:val="99"/>
    <w:semiHidden/>
    <w:rsid w:val="00C33F71"/>
  </w:style>
  <w:style w:type="paragraph" w:customStyle="1" w:styleId="s10">
    <w:name w:val="s10"/>
    <w:basedOn w:val="Normal"/>
    <w:rsid w:val="005E0A6D"/>
    <w:pPr>
      <w:spacing w:before="100" w:beforeAutospacing="1" w:after="100" w:afterAutospacing="1"/>
    </w:pPr>
    <w:rPr>
      <w:rFonts w:ascii="Times" w:hAnsi="Times"/>
      <w:sz w:val="20"/>
      <w:szCs w:val="20"/>
    </w:rPr>
  </w:style>
  <w:style w:type="character" w:customStyle="1" w:styleId="s2">
    <w:name w:val="s2"/>
    <w:basedOn w:val="DefaultParagraphFont"/>
    <w:rsid w:val="005E0A6D"/>
  </w:style>
  <w:style w:type="paragraph" w:customStyle="1" w:styleId="s3">
    <w:name w:val="s3"/>
    <w:basedOn w:val="Normal"/>
    <w:rsid w:val="005E0A6D"/>
    <w:pPr>
      <w:spacing w:before="100" w:beforeAutospacing="1" w:after="100" w:afterAutospacing="1"/>
    </w:pPr>
    <w:rPr>
      <w:rFonts w:ascii="Times" w:hAnsi="Times"/>
      <w:sz w:val="20"/>
      <w:szCs w:val="20"/>
    </w:rPr>
  </w:style>
  <w:style w:type="character" w:customStyle="1" w:styleId="s8">
    <w:name w:val="s8"/>
    <w:basedOn w:val="DefaultParagraphFont"/>
    <w:rsid w:val="005E0A6D"/>
  </w:style>
  <w:style w:type="paragraph" w:customStyle="1" w:styleId="s11">
    <w:name w:val="s11"/>
    <w:basedOn w:val="Normal"/>
    <w:rsid w:val="005E0A6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E0A6D"/>
  </w:style>
  <w:style w:type="paragraph" w:styleId="NormalWeb">
    <w:name w:val="Normal (Web)"/>
    <w:basedOn w:val="Normal"/>
    <w:uiPriority w:val="99"/>
    <w:semiHidden/>
    <w:unhideWhenUsed/>
    <w:rsid w:val="005E0A6D"/>
    <w:pPr>
      <w:spacing w:before="100" w:beforeAutospacing="1" w:after="100" w:afterAutospacing="1"/>
    </w:pPr>
    <w:rPr>
      <w:rFonts w:ascii="Times" w:hAnsi="Times" w:cs="Times New Roman"/>
      <w:sz w:val="20"/>
      <w:szCs w:val="20"/>
    </w:rPr>
  </w:style>
  <w:style w:type="character" w:customStyle="1" w:styleId="s15">
    <w:name w:val="s15"/>
    <w:basedOn w:val="DefaultParagraphFont"/>
    <w:rsid w:val="005E0A6D"/>
  </w:style>
  <w:style w:type="character" w:customStyle="1" w:styleId="s16">
    <w:name w:val="s16"/>
    <w:basedOn w:val="DefaultParagraphFont"/>
    <w:rsid w:val="005E0A6D"/>
  </w:style>
  <w:style w:type="character" w:customStyle="1" w:styleId="s7">
    <w:name w:val="s7"/>
    <w:basedOn w:val="DefaultParagraphFont"/>
    <w:rsid w:val="005E0A6D"/>
  </w:style>
  <w:style w:type="paragraph" w:customStyle="1" w:styleId="s6">
    <w:name w:val="s6"/>
    <w:basedOn w:val="Normal"/>
    <w:rsid w:val="005E0A6D"/>
    <w:pPr>
      <w:spacing w:before="100" w:beforeAutospacing="1" w:after="100" w:afterAutospacing="1"/>
    </w:pPr>
    <w:rPr>
      <w:rFonts w:ascii="Times" w:hAnsi="Times"/>
      <w:sz w:val="20"/>
      <w:szCs w:val="20"/>
    </w:rPr>
  </w:style>
  <w:style w:type="paragraph" w:customStyle="1" w:styleId="s17">
    <w:name w:val="s17"/>
    <w:basedOn w:val="Normal"/>
    <w:rsid w:val="005E0A6D"/>
    <w:pPr>
      <w:spacing w:before="100" w:beforeAutospacing="1" w:after="100" w:afterAutospacing="1"/>
    </w:pPr>
    <w:rPr>
      <w:rFonts w:ascii="Times" w:hAnsi="Times"/>
      <w:sz w:val="20"/>
      <w:szCs w:val="20"/>
    </w:rPr>
  </w:style>
  <w:style w:type="paragraph" w:customStyle="1" w:styleId="Body">
    <w:name w:val="Body"/>
    <w:rsid w:val="002629B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39"/>
    <w:rsid w:val="002629BD"/>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2289"/>
    <w:rPr>
      <w:color w:val="0000FF" w:themeColor="hyperlink"/>
      <w:u w:val="single"/>
    </w:rPr>
  </w:style>
  <w:style w:type="character" w:styleId="FollowedHyperlink">
    <w:name w:val="FollowedHyperlink"/>
    <w:basedOn w:val="DefaultParagraphFont"/>
    <w:uiPriority w:val="99"/>
    <w:semiHidden/>
    <w:unhideWhenUsed/>
    <w:rsid w:val="003546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2759">
      <w:bodyDiv w:val="1"/>
      <w:marLeft w:val="0"/>
      <w:marRight w:val="0"/>
      <w:marTop w:val="0"/>
      <w:marBottom w:val="0"/>
      <w:divBdr>
        <w:top w:val="none" w:sz="0" w:space="0" w:color="auto"/>
        <w:left w:val="none" w:sz="0" w:space="0" w:color="auto"/>
        <w:bottom w:val="none" w:sz="0" w:space="0" w:color="auto"/>
        <w:right w:val="none" w:sz="0" w:space="0" w:color="auto"/>
      </w:divBdr>
    </w:div>
    <w:div w:id="451941129">
      <w:bodyDiv w:val="1"/>
      <w:marLeft w:val="0"/>
      <w:marRight w:val="0"/>
      <w:marTop w:val="0"/>
      <w:marBottom w:val="0"/>
      <w:divBdr>
        <w:top w:val="none" w:sz="0" w:space="0" w:color="auto"/>
        <w:left w:val="none" w:sz="0" w:space="0" w:color="auto"/>
        <w:bottom w:val="none" w:sz="0" w:space="0" w:color="auto"/>
        <w:right w:val="none" w:sz="0" w:space="0" w:color="auto"/>
      </w:divBdr>
    </w:div>
    <w:div w:id="582956627">
      <w:bodyDiv w:val="1"/>
      <w:marLeft w:val="0"/>
      <w:marRight w:val="0"/>
      <w:marTop w:val="0"/>
      <w:marBottom w:val="0"/>
      <w:divBdr>
        <w:top w:val="none" w:sz="0" w:space="0" w:color="auto"/>
        <w:left w:val="none" w:sz="0" w:space="0" w:color="auto"/>
        <w:bottom w:val="none" w:sz="0" w:space="0" w:color="auto"/>
        <w:right w:val="none" w:sz="0" w:space="0" w:color="auto"/>
      </w:divBdr>
    </w:div>
    <w:div w:id="835343672">
      <w:bodyDiv w:val="1"/>
      <w:marLeft w:val="0"/>
      <w:marRight w:val="0"/>
      <w:marTop w:val="0"/>
      <w:marBottom w:val="0"/>
      <w:divBdr>
        <w:top w:val="none" w:sz="0" w:space="0" w:color="auto"/>
        <w:left w:val="none" w:sz="0" w:space="0" w:color="auto"/>
        <w:bottom w:val="none" w:sz="0" w:space="0" w:color="auto"/>
        <w:right w:val="none" w:sz="0" w:space="0" w:color="auto"/>
      </w:divBdr>
    </w:div>
    <w:div w:id="1190870061">
      <w:bodyDiv w:val="1"/>
      <w:marLeft w:val="0"/>
      <w:marRight w:val="0"/>
      <w:marTop w:val="0"/>
      <w:marBottom w:val="0"/>
      <w:divBdr>
        <w:top w:val="none" w:sz="0" w:space="0" w:color="auto"/>
        <w:left w:val="none" w:sz="0" w:space="0" w:color="auto"/>
        <w:bottom w:val="none" w:sz="0" w:space="0" w:color="auto"/>
        <w:right w:val="none" w:sz="0" w:space="0" w:color="auto"/>
      </w:divBdr>
    </w:div>
    <w:div w:id="1315261915">
      <w:bodyDiv w:val="1"/>
      <w:marLeft w:val="0"/>
      <w:marRight w:val="0"/>
      <w:marTop w:val="0"/>
      <w:marBottom w:val="0"/>
      <w:divBdr>
        <w:top w:val="none" w:sz="0" w:space="0" w:color="auto"/>
        <w:left w:val="none" w:sz="0" w:space="0" w:color="auto"/>
        <w:bottom w:val="none" w:sz="0" w:space="0" w:color="auto"/>
        <w:right w:val="none" w:sz="0" w:space="0" w:color="auto"/>
      </w:divBdr>
    </w:div>
    <w:div w:id="1386221480">
      <w:bodyDiv w:val="1"/>
      <w:marLeft w:val="0"/>
      <w:marRight w:val="0"/>
      <w:marTop w:val="0"/>
      <w:marBottom w:val="0"/>
      <w:divBdr>
        <w:top w:val="none" w:sz="0" w:space="0" w:color="auto"/>
        <w:left w:val="none" w:sz="0" w:space="0" w:color="auto"/>
        <w:bottom w:val="none" w:sz="0" w:space="0" w:color="auto"/>
        <w:right w:val="none" w:sz="0" w:space="0" w:color="auto"/>
      </w:divBdr>
    </w:div>
    <w:div w:id="2039238025">
      <w:bodyDiv w:val="1"/>
      <w:marLeft w:val="0"/>
      <w:marRight w:val="0"/>
      <w:marTop w:val="0"/>
      <w:marBottom w:val="0"/>
      <w:divBdr>
        <w:top w:val="none" w:sz="0" w:space="0" w:color="auto"/>
        <w:left w:val="none" w:sz="0" w:space="0" w:color="auto"/>
        <w:bottom w:val="none" w:sz="0" w:space="0" w:color="auto"/>
        <w:right w:val="none" w:sz="0" w:space="0" w:color="auto"/>
      </w:divBdr>
      <w:divsChild>
        <w:div w:id="1820074759">
          <w:marLeft w:val="0"/>
          <w:marRight w:val="0"/>
          <w:marTop w:val="0"/>
          <w:marBottom w:val="0"/>
          <w:divBdr>
            <w:top w:val="none" w:sz="0" w:space="0" w:color="auto"/>
            <w:left w:val="none" w:sz="0" w:space="0" w:color="auto"/>
            <w:bottom w:val="none" w:sz="0" w:space="0" w:color="auto"/>
            <w:right w:val="none" w:sz="0" w:space="0" w:color="auto"/>
          </w:divBdr>
        </w:div>
        <w:div w:id="12065271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pencer.org/" TargetMode="External"/><Relationship Id="rId20" Type="http://schemas.microsoft.com/office/2011/relationships/people" Target="people.xml"/><Relationship Id="rId10" Type="http://schemas.openxmlformats.org/officeDocument/2006/relationships/hyperlink" Target="http://wtgrantfoundation.org/grants" TargetMode="External"/><Relationship Id="rId11" Type="http://schemas.openxmlformats.org/officeDocument/2006/relationships/hyperlink" Target="https://academicaffairs.uoregon.edu/files/coe_ttf_workload_final_06_15_17_mh_formatted_for_coe.pdf"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wkkf.org/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3141</Words>
  <Characters>17906</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21005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Kamphaus</dc:creator>
  <cp:keywords/>
  <dc:description/>
  <cp:lastModifiedBy>Randy Kamphaus</cp:lastModifiedBy>
  <cp:revision>10</cp:revision>
  <cp:lastPrinted>2017-11-10T22:38:00Z</cp:lastPrinted>
  <dcterms:created xsi:type="dcterms:W3CDTF">2019-04-21T15:47:00Z</dcterms:created>
  <dcterms:modified xsi:type="dcterms:W3CDTF">2019-04-22T23:01:00Z</dcterms:modified>
</cp:coreProperties>
</file>