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710EE7A" w:rsidP="2E960BCE" w:rsidRDefault="4710EE7A" w14:paraId="244FD5F3" w14:textId="11B79506">
      <w:pPr>
        <w:pStyle w:val="Header"/>
        <w:jc w:val="center"/>
        <w:rPr>
          <w:rFonts w:ascii="Source Sans Pro" w:hAnsi="Source Sans Pro" w:eastAsia="Source Sans Pro" w:cs="Source Sans Pro"/>
          <w:b/>
          <w:bCs/>
          <w:sz w:val="24"/>
          <w:szCs w:val="24"/>
        </w:rPr>
      </w:pPr>
      <w:r w:rsidRPr="2E960BCE">
        <w:rPr>
          <w:rFonts w:ascii="Source Sans Pro" w:hAnsi="Source Sans Pro" w:eastAsia="Source Sans Pro" w:cs="Source Sans Pro"/>
          <w:b/>
          <w:bCs/>
          <w:sz w:val="24"/>
          <w:szCs w:val="24"/>
        </w:rPr>
        <w:t>Unit/Department Report Guidance and Template for 6PTR</w:t>
      </w:r>
    </w:p>
    <w:p w:rsidRPr="00B763BA" w:rsidR="007941AE" w:rsidP="2E960BCE" w:rsidRDefault="007941AE" w14:paraId="3A7C7370" w14:textId="7F14A39D">
      <w:pPr>
        <w:keepNext/>
        <w:keepLines/>
        <w:spacing w:after="0" w:line="240" w:lineRule="auto"/>
        <w:rPr>
          <w:rFonts w:ascii="Source Sans Pro" w:hAnsi="Source Sans Pro" w:eastAsia="Source Sans Pro" w:cs="Source Sans Pro"/>
          <w:sz w:val="24"/>
          <w:szCs w:val="24"/>
        </w:rPr>
      </w:pPr>
    </w:p>
    <w:p w:rsidR="004A305C" w:rsidP="5AA5FF55" w:rsidRDefault="004A305C" w14:paraId="2CB0B6E0" w14:textId="766F5757" w14:noSpellErr="1">
      <w:pPr>
        <w:spacing w:before="100" w:beforeAutospacing="on" w:after="100" w:afterAutospacing="on" w:line="240" w:lineRule="auto"/>
        <w:rPr>
          <w:rFonts w:ascii="Source Sans Pro" w:hAnsi="Source Sans Pro" w:eastAsia="Source Sans Pro" w:cs="Source Sans Pro"/>
          <w:color w:val="auto"/>
          <w:sz w:val="24"/>
          <w:szCs w:val="24"/>
        </w:rPr>
      </w:pPr>
      <w:r w:rsidRPr="5AA5FF55" w:rsidR="004A305C">
        <w:rPr>
          <w:rFonts w:ascii="Source Sans Pro" w:hAnsi="Source Sans Pro" w:eastAsia="Source Sans Pro" w:cs="Source Sans Pro"/>
          <w:color w:val="auto"/>
          <w:sz w:val="24"/>
          <w:szCs w:val="24"/>
        </w:rPr>
        <w:t>Only full professors have sixth-year post-tenure</w:t>
      </w:r>
      <w:r w:rsidRPr="5AA5FF55" w:rsidR="7208D8C5">
        <w:rPr>
          <w:rFonts w:ascii="Source Sans Pro" w:hAnsi="Source Sans Pro" w:eastAsia="Source Sans Pro" w:cs="Source Sans Pro"/>
          <w:color w:val="auto"/>
          <w:sz w:val="24"/>
          <w:szCs w:val="24"/>
        </w:rPr>
        <w:t xml:space="preserve"> </w:t>
      </w:r>
      <w:r w:rsidRPr="5AA5FF55" w:rsidR="004A305C">
        <w:rPr>
          <w:rFonts w:ascii="Source Sans Pro" w:hAnsi="Source Sans Pro" w:eastAsia="Source Sans Pro" w:cs="Source Sans Pro"/>
          <w:color w:val="auto"/>
          <w:sz w:val="24"/>
          <w:szCs w:val="24"/>
        </w:rPr>
        <w:t xml:space="preserve">reviews. Tenured bargaining unit faculty members have a review in the sixth year following </w:t>
      </w:r>
      <w:r w:rsidRPr="5AA5FF55" w:rsidR="50A86BAA">
        <w:rPr>
          <w:rFonts w:ascii="Source Sans Pro" w:hAnsi="Source Sans Pro" w:eastAsia="Source Sans Pro" w:cs="Source Sans Pro"/>
          <w:color w:val="auto"/>
          <w:sz w:val="24"/>
          <w:szCs w:val="24"/>
        </w:rPr>
        <w:t xml:space="preserve">either </w:t>
      </w:r>
      <w:r w:rsidRPr="5AA5FF55" w:rsidR="004A305C">
        <w:rPr>
          <w:rFonts w:ascii="Source Sans Pro" w:hAnsi="Source Sans Pro" w:eastAsia="Source Sans Pro" w:cs="Source Sans Pro"/>
          <w:color w:val="auto"/>
          <w:sz w:val="24"/>
          <w:szCs w:val="24"/>
        </w:rPr>
        <w:t xml:space="preserve">promotion to full professor or a </w:t>
      </w:r>
      <w:r w:rsidRPr="5AA5FF55" w:rsidR="4833CFD0">
        <w:rPr>
          <w:rFonts w:ascii="Source Sans Pro" w:hAnsi="Source Sans Pro" w:eastAsia="Source Sans Pro" w:cs="Source Sans Pro"/>
          <w:color w:val="auto"/>
          <w:sz w:val="24"/>
          <w:szCs w:val="24"/>
        </w:rPr>
        <w:t xml:space="preserve">prior </w:t>
      </w:r>
      <w:r w:rsidRPr="5AA5FF55" w:rsidR="004A305C">
        <w:rPr>
          <w:rFonts w:ascii="Source Sans Pro" w:hAnsi="Source Sans Pro" w:eastAsia="Source Sans Pro" w:cs="Source Sans Pro"/>
          <w:color w:val="auto"/>
          <w:sz w:val="24"/>
          <w:szCs w:val="24"/>
        </w:rPr>
        <w:t>sixth-year post-tenure review.</w:t>
      </w:r>
    </w:p>
    <w:p w:rsidR="033A2959" w:rsidP="5AA5FF55" w:rsidRDefault="033A2959" w14:paraId="55CE6016" w14:textId="3800F38D" w14:noSpellErr="1">
      <w:pPr>
        <w:spacing w:beforeAutospacing="on" w:afterAutospacing="on" w:line="240" w:lineRule="auto"/>
        <w:rPr>
          <w:rFonts w:ascii="Source Sans Pro" w:hAnsi="Source Sans Pro" w:eastAsia="Source Sans Pro" w:cs="Source Sans Pro"/>
          <w:color w:val="auto"/>
          <w:sz w:val="24"/>
          <w:szCs w:val="24"/>
        </w:rPr>
      </w:pPr>
    </w:p>
    <w:p w:rsidR="005C7EF3" w:rsidP="5AA5FF55" w:rsidRDefault="005C7EF3" w14:paraId="62A8BE90" w14:textId="508150DE" w14:noSpellErr="1">
      <w:pPr>
        <w:spacing w:before="100" w:beforeAutospacing="on" w:after="100" w:afterAutospacing="on" w:line="240" w:lineRule="auto"/>
        <w:rPr>
          <w:rFonts w:ascii="Source Sans Pro" w:hAnsi="Source Sans Pro" w:eastAsia="Source Sans Pro" w:cs="Source Sans Pro"/>
          <w:color w:val="auto"/>
          <w:sz w:val="24"/>
          <w:szCs w:val="24"/>
        </w:rPr>
      </w:pPr>
      <w:r w:rsidRPr="5AA5FF55" w:rsidR="005C7EF3">
        <w:rPr>
          <w:rFonts w:ascii="Source Sans Pro" w:hAnsi="Source Sans Pro" w:eastAsia="Source Sans Pro" w:cs="Source Sans Pro"/>
          <w:color w:val="auto"/>
          <w:sz w:val="24"/>
          <w:szCs w:val="24"/>
        </w:rPr>
        <w:t xml:space="preserve">The primary functions of post-tenure review are faculty development and the identification of clear expectations and areas for improvement over the next review period. Post-tenure reviews are </w:t>
      </w:r>
      <w:r w:rsidRPr="5AA5FF55" w:rsidR="005C7EF3">
        <w:rPr>
          <w:rFonts w:ascii="Source Sans Pro" w:hAnsi="Source Sans Pro" w:eastAsia="Source Sans Pro" w:cs="Source Sans Pro"/>
          <w:color w:val="auto"/>
          <w:sz w:val="24"/>
          <w:szCs w:val="24"/>
        </w:rPr>
        <w:t>required</w:t>
      </w:r>
      <w:r w:rsidRPr="5AA5FF55" w:rsidR="005C7EF3">
        <w:rPr>
          <w:rFonts w:ascii="Source Sans Pro" w:hAnsi="Source Sans Pro" w:eastAsia="Source Sans Pro" w:cs="Source Sans Pro"/>
          <w:color w:val="auto"/>
          <w:sz w:val="24"/>
          <w:szCs w:val="24"/>
        </w:rPr>
        <w:t xml:space="preserve"> for all tenured faculty except those who hold full-time administrative appointments or who have had approved leave without pay (LWOP) for reasons not related to their own research.</w:t>
      </w:r>
    </w:p>
    <w:p w:rsidR="033A2959" w:rsidP="5AA5FF55" w:rsidRDefault="033A2959" w14:paraId="7F598424" w14:textId="2994AE6D" w14:noSpellErr="1">
      <w:pPr>
        <w:spacing w:beforeAutospacing="on" w:afterAutospacing="on" w:line="240" w:lineRule="auto"/>
        <w:rPr>
          <w:rFonts w:ascii="Source Sans Pro" w:hAnsi="Source Sans Pro" w:eastAsia="Source Sans Pro" w:cs="Source Sans Pro"/>
          <w:color w:val="auto"/>
          <w:sz w:val="24"/>
          <w:szCs w:val="24"/>
        </w:rPr>
      </w:pPr>
    </w:p>
    <w:p w:rsidRPr="005C7EF3" w:rsidR="005C7EF3" w:rsidP="5AA5FF55" w:rsidRDefault="005C7EF3" w14:paraId="7EA385AE" w14:textId="13689EB7" w14:noSpellErr="1">
      <w:pPr>
        <w:spacing w:before="100" w:beforeAutospacing="on" w:after="100" w:afterAutospacing="on" w:line="240" w:lineRule="auto"/>
        <w:rPr>
          <w:rFonts w:ascii="Source Sans Pro" w:hAnsi="Source Sans Pro" w:eastAsia="Source Sans Pro" w:cs="Source Sans Pro"/>
          <w:color w:val="auto"/>
          <w:sz w:val="24"/>
          <w:szCs w:val="24"/>
        </w:rPr>
      </w:pPr>
      <w:r w:rsidRPr="5AA5FF55" w:rsidR="005C7EF3">
        <w:rPr>
          <w:rFonts w:ascii="Source Sans Pro" w:hAnsi="Source Sans Pro" w:eastAsia="Source Sans Pro" w:cs="Source Sans Pro"/>
          <w:color w:val="auto"/>
          <w:sz w:val="24"/>
          <w:szCs w:val="24"/>
        </w:rPr>
        <w:t xml:space="preserve">Criteria for </w:t>
      </w:r>
      <w:r w:rsidRPr="5AA5FF55" w:rsidR="50BF0412">
        <w:rPr>
          <w:rFonts w:ascii="Source Sans Pro" w:hAnsi="Source Sans Pro" w:eastAsia="Source Sans Pro" w:cs="Source Sans Pro"/>
          <w:color w:val="auto"/>
          <w:sz w:val="24"/>
          <w:szCs w:val="24"/>
        </w:rPr>
        <w:t>sixth-year post-tenure review</w:t>
      </w:r>
      <w:r w:rsidRPr="5AA5FF55" w:rsidR="005C7EF3">
        <w:rPr>
          <w:rFonts w:ascii="Source Sans Pro" w:hAnsi="Source Sans Pro" w:eastAsia="Source Sans Pro" w:cs="Source Sans Pro"/>
          <w:color w:val="auto"/>
          <w:sz w:val="24"/>
          <w:szCs w:val="24"/>
        </w:rPr>
        <w:t xml:space="preserve">, modified </w:t>
      </w:r>
      <w:r w:rsidRPr="5AA5FF55" w:rsidR="005C7EF3">
        <w:rPr>
          <w:rFonts w:ascii="Source Sans Pro" w:hAnsi="Source Sans Pro" w:eastAsia="Source Sans Pro" w:cs="Source Sans Pro"/>
          <w:color w:val="auto"/>
          <w:sz w:val="24"/>
          <w:szCs w:val="24"/>
        </w:rPr>
        <w:t>in light of</w:t>
      </w:r>
      <w:r w:rsidRPr="5AA5FF55" w:rsidR="005C7EF3">
        <w:rPr>
          <w:rFonts w:ascii="Source Sans Pro" w:hAnsi="Source Sans Pro" w:eastAsia="Source Sans Pro" w:cs="Source Sans Pro"/>
          <w:color w:val="auto"/>
          <w:sz w:val="24"/>
          <w:szCs w:val="24"/>
        </w:rPr>
        <w:t xml:space="preserve"> any written agreement with the faculty member, ar</w:t>
      </w:r>
      <w:r w:rsidRPr="5AA5FF55" w:rsidR="00075061">
        <w:rPr>
          <w:rFonts w:ascii="Source Sans Pro" w:hAnsi="Source Sans Pro" w:eastAsia="Source Sans Pro" w:cs="Source Sans Pro"/>
          <w:color w:val="auto"/>
          <w:sz w:val="24"/>
          <w:szCs w:val="24"/>
        </w:rPr>
        <w:t>e listed below</w:t>
      </w:r>
      <w:r w:rsidRPr="5AA5FF55" w:rsidR="005C7EF3">
        <w:rPr>
          <w:rFonts w:ascii="Source Sans Pro" w:hAnsi="Source Sans Pro" w:eastAsia="Source Sans Pro" w:cs="Source Sans Pro"/>
          <w:color w:val="auto"/>
          <w:sz w:val="24"/>
          <w:szCs w:val="24"/>
        </w:rPr>
        <w:t>.</w:t>
      </w:r>
      <w:r w:rsidRPr="5AA5FF55" w:rsidR="005C7EF3">
        <w:rPr>
          <w:rFonts w:ascii="Source Sans Pro" w:hAnsi="Source Sans Pro" w:eastAsia="Source Sans Pro" w:cs="Source Sans Pro"/>
          <w:color w:val="auto"/>
          <w:sz w:val="24"/>
          <w:szCs w:val="24"/>
        </w:rPr>
        <w:t xml:space="preserve"> Specific expectations and criteria for post-tenure review </w:t>
      </w:r>
      <w:r w:rsidRPr="5AA5FF55" w:rsidR="4ABD8955">
        <w:rPr>
          <w:rFonts w:ascii="Source Sans Pro" w:hAnsi="Source Sans Pro" w:eastAsia="Source Sans Pro" w:cs="Source Sans Pro"/>
          <w:color w:val="auto"/>
          <w:sz w:val="24"/>
          <w:szCs w:val="24"/>
        </w:rPr>
        <w:t>are</w:t>
      </w:r>
      <w:r w:rsidRPr="5AA5FF55" w:rsidR="005C7EF3">
        <w:rPr>
          <w:rFonts w:ascii="Source Sans Pro" w:hAnsi="Source Sans Pro" w:eastAsia="Source Sans Pro" w:cs="Source Sans Pro"/>
          <w:color w:val="auto"/>
          <w:sz w:val="24"/>
          <w:szCs w:val="24"/>
        </w:rPr>
        <w:t xml:space="preserve"> included in unit promotion and tenure policies.</w:t>
      </w:r>
    </w:p>
    <w:p w:rsidR="00871851" w:rsidP="5AA5FF55" w:rsidRDefault="00871851" w14:paraId="531C5224" w14:textId="3EDA9BB7" w14:noSpellErr="1">
      <w:pPr>
        <w:spacing w:after="0"/>
        <w:rPr>
          <w:rFonts w:ascii="Source Sans Pro" w:hAnsi="Source Sans Pro" w:eastAsia="Source Sans Pro" w:cs="Source Sans Pro"/>
          <w:b w:val="1"/>
          <w:bCs w:val="1"/>
          <w:color w:val="auto"/>
          <w:sz w:val="24"/>
          <w:szCs w:val="24"/>
        </w:rPr>
      </w:pPr>
    </w:p>
    <w:p w:rsidR="00871851" w:rsidP="5AA5FF55" w:rsidRDefault="7A2CD7CD" w14:paraId="6C609A39" w14:textId="391548E0" w14:noSpellErr="1">
      <w:pPr>
        <w:spacing w:after="0"/>
        <w:rPr>
          <w:rFonts w:ascii="Source Sans Pro" w:hAnsi="Source Sans Pro" w:eastAsia="Source Sans Pro" w:cs="Source Sans Pro"/>
          <w:color w:val="auto"/>
          <w:sz w:val="24"/>
          <w:szCs w:val="24"/>
        </w:rPr>
      </w:pPr>
      <w:r w:rsidRPr="5AA5FF55" w:rsidR="7A2CD7CD">
        <w:rPr>
          <w:rFonts w:ascii="Source Sans Pro" w:hAnsi="Source Sans Pro" w:eastAsia="Source Sans Pro" w:cs="Source Sans Pro"/>
          <w:b w:val="1"/>
          <w:bCs w:val="1"/>
          <w:color w:val="auto"/>
          <w:sz w:val="24"/>
          <w:szCs w:val="24"/>
        </w:rPr>
        <w:t>Post-Tenure Review Criteria</w:t>
      </w:r>
      <w:r w:rsidRPr="5AA5FF55" w:rsidR="7A2CD7CD">
        <w:rPr>
          <w:rFonts w:ascii="Source Sans Pro" w:hAnsi="Source Sans Pro" w:eastAsia="Source Sans Pro" w:cs="Source Sans Pro"/>
          <w:color w:val="auto"/>
          <w:sz w:val="24"/>
          <w:szCs w:val="24"/>
        </w:rPr>
        <w:t>. Review criteria for third- and sixth-year post-tenure</w:t>
      </w:r>
      <w:r>
        <w:br/>
      </w:r>
      <w:r w:rsidRPr="5AA5FF55" w:rsidR="7A2CD7CD">
        <w:rPr>
          <w:rFonts w:ascii="Source Sans Pro" w:hAnsi="Source Sans Pro" w:eastAsia="Source Sans Pro" w:cs="Source Sans Pro"/>
          <w:color w:val="auto"/>
          <w:sz w:val="24"/>
          <w:szCs w:val="24"/>
        </w:rPr>
        <w:t xml:space="preserve">review are as follows, unless a department or unit has an approved unit-level policy </w:t>
      </w:r>
      <w:r w:rsidRPr="5AA5FF55" w:rsidR="7A2CD7CD">
        <w:rPr>
          <w:rFonts w:ascii="Source Sans Pro" w:hAnsi="Source Sans Pro" w:eastAsia="Source Sans Pro" w:cs="Source Sans Pro"/>
          <w:color w:val="auto"/>
          <w:sz w:val="24"/>
          <w:szCs w:val="24"/>
        </w:rPr>
        <w:t>establishing</w:t>
      </w:r>
      <w:r w:rsidRPr="5AA5FF55" w:rsidR="7A2CD7CD">
        <w:rPr>
          <w:rFonts w:ascii="Source Sans Pro" w:hAnsi="Source Sans Pro" w:eastAsia="Source Sans Pro" w:cs="Source Sans Pro"/>
          <w:color w:val="auto"/>
          <w:sz w:val="24"/>
          <w:szCs w:val="24"/>
        </w:rPr>
        <w:t xml:space="preserve"> their own post-tenure review criteria through the process specified in the CBA. </w:t>
      </w:r>
    </w:p>
    <w:p w:rsidR="00871851" w:rsidP="5AA5FF55" w:rsidRDefault="00871851" w14:paraId="713A7906" w14:textId="5D7C213A" w14:noSpellErr="1">
      <w:pPr>
        <w:spacing w:after="0"/>
        <w:rPr>
          <w:rFonts w:ascii="Source Sans Pro" w:hAnsi="Source Sans Pro" w:eastAsia="Source Sans Pro" w:cs="Source Sans Pro"/>
          <w:color w:val="auto"/>
          <w:sz w:val="24"/>
          <w:szCs w:val="24"/>
        </w:rPr>
      </w:pPr>
    </w:p>
    <w:p w:rsidR="00871851" w:rsidP="19B7F287" w:rsidRDefault="7A2CD7CD" w14:paraId="4B087095" w14:textId="3AA798E2" w14:noSpellErr="1">
      <w:pPr>
        <w:spacing w:after="0"/>
        <w:rPr>
          <w:rFonts w:ascii="Source Sans Pro" w:hAnsi="Source Sans Pro" w:eastAsia="Source Sans Pro" w:cs="Source Sans Pro"/>
          <w:color w:val="0070C0"/>
          <w:sz w:val="24"/>
          <w:szCs w:val="24"/>
        </w:rPr>
      </w:pPr>
      <w:r w:rsidRPr="5AA5FF55" w:rsidR="7A2CD7CD">
        <w:rPr>
          <w:rFonts w:ascii="Source Sans Pro" w:hAnsi="Source Sans Pro" w:eastAsia="Source Sans Pro" w:cs="Source Sans Pro"/>
          <w:color w:val="auto"/>
          <w:sz w:val="24"/>
          <w:szCs w:val="24"/>
        </w:rPr>
        <w:t>In cases where a tenured faculty member has a workload other than the standard tenure-</w:t>
      </w:r>
      <w:r w:rsidRPr="5AA5FF55" w:rsidR="37917321">
        <w:rPr>
          <w:rFonts w:ascii="Source Sans Pro" w:hAnsi="Source Sans Pro" w:eastAsia="Source Sans Pro" w:cs="Source Sans Pro"/>
          <w:color w:val="auto"/>
          <w:sz w:val="24"/>
          <w:szCs w:val="24"/>
        </w:rPr>
        <w:t>trac</w:t>
      </w:r>
      <w:r w:rsidRPr="5AA5FF55" w:rsidR="4C72716F">
        <w:rPr>
          <w:rFonts w:ascii="Source Sans Pro" w:hAnsi="Source Sans Pro" w:eastAsia="Source Sans Pro" w:cs="Source Sans Pro"/>
          <w:color w:val="auto"/>
          <w:sz w:val="24"/>
          <w:szCs w:val="24"/>
        </w:rPr>
        <w:t>k</w:t>
      </w:r>
      <w:r w:rsidRPr="5AA5FF55" w:rsidR="7A2CD7CD">
        <w:rPr>
          <w:rFonts w:ascii="Source Sans Pro" w:hAnsi="Source Sans Pro" w:eastAsia="Source Sans Pro" w:cs="Source Sans Pro"/>
          <w:color w:val="auto"/>
          <w:sz w:val="24"/>
          <w:szCs w:val="24"/>
        </w:rPr>
        <w:t xml:space="preserve"> workload in the department or unit (e.g., with larger teaching and smaller research FTE, or vice versa) or is working under a development plan, the standard for meeting expectations in a third- or sixth-year review will be established by these alternate arrangements and informed by the unit-level policy and the guidelines below.</w:t>
      </w:r>
      <w:r>
        <w:br/>
      </w:r>
    </w:p>
    <w:p w:rsidR="00871851" w:rsidP="2E960BCE" w:rsidRDefault="0349A3CF" w14:paraId="3D70A3C9" w14:textId="44085B18">
      <w:pPr>
        <w:pStyle w:val="Heading1"/>
        <w:spacing w:before="0" w:line="240" w:lineRule="auto"/>
        <w:rPr>
          <w:rFonts w:ascii="Source Sans Pro" w:hAnsi="Source Sans Pro" w:eastAsia="Source Sans Pro" w:cs="Source Sans Pro"/>
          <w:bCs/>
          <w:color w:val="5B9AD5"/>
          <w:sz w:val="24"/>
          <w:szCs w:val="24"/>
        </w:rPr>
      </w:pPr>
      <w:r w:rsidRPr="2E960BCE">
        <w:rPr>
          <w:rFonts w:ascii="Source Sans Pro" w:hAnsi="Source Sans Pro" w:eastAsia="Source Sans Pro" w:cs="Source Sans Pro"/>
          <w:b w:val="0"/>
          <w:i/>
          <w:iCs/>
          <w:color w:val="5B9AD5"/>
          <w:sz w:val="24"/>
          <w:szCs w:val="24"/>
        </w:rPr>
        <w:t>*Use your departmental letterhead</w:t>
      </w:r>
    </w:p>
    <w:p w:rsidR="00871851" w:rsidP="2E960BCE" w:rsidRDefault="00871851" w14:paraId="071E9C4B" w14:textId="6905CDBB">
      <w:pPr>
        <w:keepNext/>
        <w:keepLines/>
        <w:spacing w:after="0" w:line="240" w:lineRule="auto"/>
        <w:rPr>
          <w:rFonts w:ascii="Source Sans Pro" w:hAnsi="Source Sans Pro" w:eastAsia="Source Sans Pro" w:cs="Source Sans Pro"/>
          <w:color w:val="1F3864" w:themeColor="accent1" w:themeShade="80"/>
          <w:sz w:val="24"/>
          <w:szCs w:val="24"/>
        </w:rPr>
      </w:pPr>
    </w:p>
    <w:p w:rsidR="00871851" w:rsidP="2E960BCE" w:rsidRDefault="0349A3CF" w14:paraId="5E428114" w14:textId="6CCB824C">
      <w:pPr>
        <w:pStyle w:val="Heading1"/>
        <w:spacing w:before="0" w:line="240" w:lineRule="auto"/>
        <w:rPr>
          <w:rFonts w:ascii="Source Sans Pro" w:hAnsi="Source Sans Pro" w:eastAsia="Source Sans Pro" w:cs="Source Sans Pro"/>
          <w:bCs/>
          <w:color w:val="5B9AD5"/>
          <w:sz w:val="24"/>
          <w:szCs w:val="24"/>
        </w:rPr>
      </w:pPr>
      <w:r w:rsidRPr="2E960BCE">
        <w:rPr>
          <w:rFonts w:ascii="Source Sans Pro" w:hAnsi="Source Sans Pro" w:eastAsia="Source Sans Pro" w:cs="Source Sans Pro"/>
          <w:b w:val="0"/>
          <w:color w:val="auto"/>
          <w:sz w:val="24"/>
          <w:szCs w:val="24"/>
        </w:rPr>
        <w:t>To:</w:t>
      </w:r>
      <w:r w:rsidRPr="2E960BCE">
        <w:rPr>
          <w:rFonts w:ascii="Source Sans Pro" w:hAnsi="Source Sans Pro" w:eastAsia="Source Sans Pro" w:cs="Source Sans Pro"/>
          <w:b w:val="0"/>
          <w:color w:val="5B9AD5"/>
          <w:sz w:val="24"/>
          <w:szCs w:val="24"/>
        </w:rPr>
        <w:t xml:space="preserve"> &lt;DEAN&gt;</w:t>
      </w:r>
    </w:p>
    <w:p w:rsidR="00871851" w:rsidP="2E960BCE" w:rsidRDefault="0349A3CF" w14:paraId="19141012" w14:textId="1D482CD4">
      <w:pPr>
        <w:pStyle w:val="Heading1"/>
        <w:spacing w:before="0" w:line="240" w:lineRule="auto"/>
        <w:rPr>
          <w:rFonts w:ascii="Source Sans Pro" w:hAnsi="Source Sans Pro" w:eastAsia="Source Sans Pro" w:cs="Source Sans Pro"/>
          <w:bCs/>
          <w:color w:val="5B9AD5"/>
          <w:sz w:val="24"/>
          <w:szCs w:val="24"/>
        </w:rPr>
      </w:pPr>
      <w:r w:rsidRPr="2E960BCE">
        <w:rPr>
          <w:rFonts w:ascii="Source Sans Pro" w:hAnsi="Source Sans Pro" w:eastAsia="Source Sans Pro" w:cs="Source Sans Pro"/>
          <w:b w:val="0"/>
          <w:color w:val="auto"/>
          <w:sz w:val="24"/>
          <w:szCs w:val="24"/>
        </w:rPr>
        <w:t>From:</w:t>
      </w:r>
      <w:r w:rsidRPr="2E960BCE">
        <w:rPr>
          <w:rFonts w:ascii="Source Sans Pro" w:hAnsi="Source Sans Pro" w:eastAsia="Source Sans Pro" w:cs="Source Sans Pro"/>
          <w:b w:val="0"/>
          <w:sz w:val="24"/>
          <w:szCs w:val="24"/>
        </w:rPr>
        <w:t xml:space="preserve"> </w:t>
      </w:r>
      <w:r w:rsidRPr="2E960BCE">
        <w:rPr>
          <w:rFonts w:ascii="Source Sans Pro" w:hAnsi="Source Sans Pro" w:eastAsia="Source Sans Pro" w:cs="Source Sans Pro"/>
          <w:b w:val="0"/>
          <w:color w:val="5B9AD5"/>
          <w:sz w:val="24"/>
          <w:szCs w:val="24"/>
        </w:rPr>
        <w:t>&lt;UNIT/DEPARTMENT HEAD NAME, UNIT NAME&gt;</w:t>
      </w:r>
    </w:p>
    <w:p w:rsidR="00871851" w:rsidP="2E960BCE" w:rsidRDefault="0349A3CF" w14:paraId="3EEA2DCA" w14:textId="6CE00464">
      <w:pPr>
        <w:keepNext/>
        <w:keepLines/>
        <w:rPr>
          <w:rFonts w:ascii="Source Sans Pro" w:hAnsi="Source Sans Pro" w:eastAsia="Source Sans Pro" w:cs="Source Sans Pro"/>
          <w:sz w:val="24"/>
          <w:szCs w:val="24"/>
        </w:rPr>
      </w:pPr>
      <w:r w:rsidRPr="2E960BCE">
        <w:rPr>
          <w:rFonts w:ascii="Source Sans Pro" w:hAnsi="Source Sans Pro" w:eastAsia="Source Sans Pro" w:cs="Source Sans Pro"/>
          <w:sz w:val="24"/>
          <w:szCs w:val="24"/>
        </w:rPr>
        <w:t xml:space="preserve">Re: Department Head’s Report for </w:t>
      </w:r>
      <w:r w:rsidRPr="2E960BCE">
        <w:rPr>
          <w:rFonts w:ascii="Source Sans Pro" w:hAnsi="Source Sans Pro" w:eastAsia="Source Sans Pro" w:cs="Source Sans Pro"/>
          <w:color w:val="5B9AD5"/>
          <w:sz w:val="24"/>
          <w:szCs w:val="24"/>
        </w:rPr>
        <w:t>&lt;CANDIDATE’S NAME&gt;</w:t>
      </w:r>
      <w:r w:rsidRPr="2E960BCE">
        <w:rPr>
          <w:rFonts w:ascii="Source Sans Pro" w:hAnsi="Source Sans Pro" w:eastAsia="Source Sans Pro" w:cs="Source Sans Pro"/>
          <w:color w:val="1F3864" w:themeColor="accent1" w:themeShade="80"/>
          <w:sz w:val="24"/>
          <w:szCs w:val="24"/>
        </w:rPr>
        <w:t xml:space="preserve">, </w:t>
      </w:r>
      <w:r w:rsidRPr="2E960BCE">
        <w:rPr>
          <w:rFonts w:ascii="Source Sans Pro" w:hAnsi="Source Sans Pro" w:eastAsia="Source Sans Pro" w:cs="Source Sans Pro"/>
          <w:sz w:val="24"/>
          <w:szCs w:val="24"/>
        </w:rPr>
        <w:t>6</w:t>
      </w:r>
      <w:r w:rsidRPr="2E960BCE">
        <w:rPr>
          <w:rFonts w:ascii="Source Sans Pro" w:hAnsi="Source Sans Pro" w:eastAsia="Source Sans Pro" w:cs="Source Sans Pro"/>
          <w:sz w:val="24"/>
          <w:szCs w:val="24"/>
          <w:vertAlign w:val="superscript"/>
        </w:rPr>
        <w:t>th</w:t>
      </w:r>
      <w:r w:rsidRPr="2E960BCE">
        <w:rPr>
          <w:rFonts w:ascii="Source Sans Pro" w:hAnsi="Source Sans Pro" w:eastAsia="Source Sans Pro" w:cs="Source Sans Pro"/>
          <w:sz w:val="24"/>
          <w:szCs w:val="24"/>
        </w:rPr>
        <w:t xml:space="preserve"> Year Post-Tenure Review</w:t>
      </w:r>
    </w:p>
    <w:p w:rsidR="00871851" w:rsidP="2E960BCE" w:rsidRDefault="586D4DFB" w14:paraId="03BCC18F" w14:textId="2CD4833F">
      <w:pPr>
        <w:pStyle w:val="Heading1"/>
        <w:spacing w:after="240"/>
        <w:rPr>
          <w:rFonts w:ascii="Source Sans Pro" w:hAnsi="Source Sans Pro" w:eastAsia="Source Sans Pro" w:cs="Source Sans Pro"/>
          <w:color w:val="auto"/>
          <w:sz w:val="24"/>
          <w:szCs w:val="24"/>
          <w:u w:val="single"/>
        </w:rPr>
      </w:pPr>
      <w:r w:rsidRPr="2E960BCE">
        <w:rPr>
          <w:rFonts w:ascii="Source Sans Pro" w:hAnsi="Source Sans Pro" w:eastAsia="Source Sans Pro" w:cs="Source Sans Pro"/>
          <w:color w:val="auto"/>
          <w:sz w:val="24"/>
          <w:szCs w:val="24"/>
          <w:u w:val="single"/>
        </w:rPr>
        <w:t>Unit/</w:t>
      </w:r>
      <w:r w:rsidRPr="2E960BCE" w:rsidR="00871851">
        <w:rPr>
          <w:rFonts w:ascii="Source Sans Pro" w:hAnsi="Source Sans Pro" w:eastAsia="Source Sans Pro" w:cs="Source Sans Pro"/>
          <w:color w:val="auto"/>
          <w:sz w:val="24"/>
          <w:szCs w:val="24"/>
          <w:u w:val="single"/>
        </w:rPr>
        <w:t xml:space="preserve">Department Head’s </w:t>
      </w:r>
      <w:r w:rsidRPr="2E960BCE" w:rsidR="40C487C9">
        <w:rPr>
          <w:rFonts w:ascii="Source Sans Pro" w:hAnsi="Source Sans Pro" w:eastAsia="Source Sans Pro" w:cs="Source Sans Pro"/>
          <w:color w:val="auto"/>
          <w:sz w:val="24"/>
          <w:szCs w:val="24"/>
          <w:u w:val="single"/>
        </w:rPr>
        <w:t>I</w:t>
      </w:r>
      <w:r w:rsidRPr="2E960BCE" w:rsidR="00871851">
        <w:rPr>
          <w:rFonts w:ascii="Source Sans Pro" w:hAnsi="Source Sans Pro" w:eastAsia="Source Sans Pro" w:cs="Source Sans Pro"/>
          <w:color w:val="auto"/>
          <w:sz w:val="24"/>
          <w:szCs w:val="24"/>
          <w:u w:val="single"/>
        </w:rPr>
        <w:t xml:space="preserve">ndependent </w:t>
      </w:r>
      <w:r w:rsidRPr="2E960BCE" w:rsidR="2BFD357B">
        <w:rPr>
          <w:rFonts w:ascii="Source Sans Pro" w:hAnsi="Source Sans Pro" w:eastAsia="Source Sans Pro" w:cs="Source Sans Pro"/>
          <w:color w:val="auto"/>
          <w:sz w:val="24"/>
          <w:szCs w:val="24"/>
          <w:u w:val="single"/>
        </w:rPr>
        <w:t>E</w:t>
      </w:r>
      <w:r w:rsidRPr="2E960BCE" w:rsidR="00871851">
        <w:rPr>
          <w:rFonts w:ascii="Source Sans Pro" w:hAnsi="Source Sans Pro" w:eastAsia="Source Sans Pro" w:cs="Source Sans Pro"/>
          <w:color w:val="auto"/>
          <w:sz w:val="24"/>
          <w:szCs w:val="24"/>
          <w:u w:val="single"/>
        </w:rPr>
        <w:t xml:space="preserve">valuation and </w:t>
      </w:r>
      <w:r w:rsidRPr="2E960BCE" w:rsidR="1B85095F">
        <w:rPr>
          <w:rFonts w:ascii="Source Sans Pro" w:hAnsi="Source Sans Pro" w:eastAsia="Source Sans Pro" w:cs="Source Sans Pro"/>
          <w:color w:val="auto"/>
          <w:sz w:val="24"/>
          <w:szCs w:val="24"/>
          <w:u w:val="single"/>
        </w:rPr>
        <w:t>R</w:t>
      </w:r>
      <w:r w:rsidRPr="2E960BCE" w:rsidR="00871851">
        <w:rPr>
          <w:rFonts w:ascii="Source Sans Pro" w:hAnsi="Source Sans Pro" w:eastAsia="Source Sans Pro" w:cs="Source Sans Pro"/>
          <w:color w:val="auto"/>
          <w:sz w:val="24"/>
          <w:szCs w:val="24"/>
          <w:u w:val="single"/>
        </w:rPr>
        <w:t>ecommendation</w:t>
      </w:r>
    </w:p>
    <w:p w:rsidR="005D781D" w:rsidP="2E960BCE" w:rsidRDefault="00075061" w14:paraId="0CE9E098" w14:textId="2EBD7858">
      <w:pPr>
        <w:spacing w:after="120"/>
        <w:rPr>
          <w:rStyle w:val="Heading2Char"/>
          <w:rFonts w:ascii="Source Sans Pro" w:hAnsi="Source Sans Pro" w:eastAsia="Source Sans Pro" w:cs="Source Sans Pro"/>
          <w:szCs w:val="24"/>
        </w:rPr>
      </w:pPr>
      <w:r>
        <w:br/>
      </w:r>
      <w:r w:rsidRPr="2E960BCE" w:rsidR="005D781D">
        <w:rPr>
          <w:rStyle w:val="Heading2Char"/>
          <w:rFonts w:ascii="Source Sans Pro" w:hAnsi="Source Sans Pro" w:eastAsia="Source Sans Pro" w:cs="Source Sans Pro"/>
          <w:szCs w:val="24"/>
          <w:u w:val="single"/>
        </w:rPr>
        <w:t xml:space="preserve">Assess </w:t>
      </w:r>
      <w:r w:rsidRPr="2E960BCE" w:rsidR="5206B797">
        <w:rPr>
          <w:rStyle w:val="Heading2Char"/>
          <w:rFonts w:ascii="Source Sans Pro" w:hAnsi="Source Sans Pro" w:eastAsia="Source Sans Pro" w:cs="Source Sans Pro"/>
          <w:bCs/>
          <w:szCs w:val="24"/>
          <w:u w:val="single"/>
        </w:rPr>
        <w:t>C</w:t>
      </w:r>
      <w:r w:rsidRPr="2E960BCE" w:rsidR="57BA605B">
        <w:rPr>
          <w:rStyle w:val="Heading2Char"/>
          <w:rFonts w:ascii="Source Sans Pro" w:hAnsi="Source Sans Pro" w:eastAsia="Source Sans Pro" w:cs="Source Sans Pro"/>
          <w:bCs/>
          <w:szCs w:val="24"/>
          <w:u w:val="single"/>
        </w:rPr>
        <w:t>andidate</w:t>
      </w:r>
      <w:r w:rsidRPr="2E960BCE" w:rsidR="0EC9F4C3">
        <w:rPr>
          <w:rStyle w:val="Heading2Char"/>
          <w:rFonts w:ascii="Source Sans Pro" w:hAnsi="Source Sans Pro" w:eastAsia="Source Sans Pro" w:cs="Source Sans Pro"/>
          <w:bCs/>
          <w:szCs w:val="24"/>
          <w:u w:val="single"/>
        </w:rPr>
        <w:t>’s</w:t>
      </w:r>
      <w:r w:rsidRPr="2E960BCE" w:rsidR="005D781D">
        <w:rPr>
          <w:rStyle w:val="Heading2Char"/>
          <w:rFonts w:ascii="Source Sans Pro" w:hAnsi="Source Sans Pro" w:eastAsia="Source Sans Pro" w:cs="Source Sans Pro"/>
          <w:szCs w:val="24"/>
          <w:u w:val="single"/>
        </w:rPr>
        <w:t xml:space="preserve"> </w:t>
      </w:r>
      <w:r w:rsidRPr="2E960BCE" w:rsidR="15C8AACD">
        <w:rPr>
          <w:rStyle w:val="Heading2Char"/>
          <w:rFonts w:ascii="Source Sans Pro" w:hAnsi="Source Sans Pro" w:eastAsia="Source Sans Pro" w:cs="Source Sans Pro"/>
          <w:szCs w:val="24"/>
          <w:u w:val="single"/>
        </w:rPr>
        <w:t>T</w:t>
      </w:r>
      <w:r w:rsidRPr="2E960BCE" w:rsidR="005D781D">
        <w:rPr>
          <w:rStyle w:val="Heading2Char"/>
          <w:rFonts w:ascii="Source Sans Pro" w:hAnsi="Source Sans Pro" w:eastAsia="Source Sans Pro" w:cs="Source Sans Pro"/>
          <w:szCs w:val="24"/>
          <w:u w:val="single"/>
        </w:rPr>
        <w:t>eaching</w:t>
      </w:r>
    </w:p>
    <w:p w:rsidRPr="005D781D" w:rsidR="005D781D" w:rsidP="2E960BCE" w:rsidRDefault="005D781D" w14:paraId="4C10B629" w14:textId="2BECA96A">
      <w:pPr>
        <w:spacing w:after="240"/>
        <w:rPr>
          <w:rFonts w:ascii="Source Sans Pro" w:hAnsi="Source Sans Pro" w:eastAsia="Source Sans Pro" w:cs="Source Sans Pro"/>
          <w:b/>
          <w:bCs/>
          <w:color w:val="0070C0"/>
          <w:sz w:val="24"/>
          <w:szCs w:val="24"/>
        </w:rPr>
      </w:pPr>
      <w:r w:rsidRPr="2E960BCE">
        <w:rPr>
          <w:rFonts w:ascii="Source Sans Pro" w:hAnsi="Source Sans Pro" w:eastAsia="Source Sans Pro" w:cs="Source Sans Pro"/>
          <w:color w:val="0070C0"/>
          <w:sz w:val="24"/>
          <w:szCs w:val="24"/>
        </w:rPr>
        <w:t xml:space="preserve">Teaching standards </w:t>
      </w:r>
      <w:r w:rsidRPr="2E960BCE" w:rsidR="263326C0">
        <w:rPr>
          <w:rFonts w:ascii="Source Sans Pro" w:hAnsi="Source Sans Pro" w:eastAsia="Source Sans Pro" w:cs="Source Sans Pro"/>
          <w:color w:val="0070C0"/>
          <w:sz w:val="24"/>
          <w:szCs w:val="24"/>
        </w:rPr>
        <w:t xml:space="preserve">are </w:t>
      </w:r>
      <w:r w:rsidRPr="2E960BCE">
        <w:rPr>
          <w:rFonts w:ascii="Source Sans Pro" w:hAnsi="Source Sans Pro" w:eastAsia="Source Sans Pro" w:cs="Source Sans Pro"/>
          <w:color w:val="0070C0"/>
          <w:sz w:val="24"/>
          <w:szCs w:val="24"/>
        </w:rPr>
        <w:t>as established by the University Senate.</w:t>
      </w:r>
    </w:p>
    <w:p w:rsidRPr="009239CA" w:rsidR="005D781D" w:rsidP="2E960BCE" w:rsidRDefault="005D781D" w14:paraId="7AB3CD87" w14:textId="2AF9C7B7">
      <w:pPr>
        <w:pStyle w:val="Heading2"/>
        <w:spacing w:after="120"/>
        <w:rPr>
          <w:rFonts w:ascii="Source Sans Pro" w:hAnsi="Source Sans Pro" w:eastAsia="Source Sans Pro" w:cs="Source Sans Pro"/>
          <w:szCs w:val="24"/>
        </w:rPr>
      </w:pPr>
      <w:r w:rsidRPr="2E960BCE">
        <w:rPr>
          <w:rFonts w:ascii="Source Sans Pro" w:hAnsi="Source Sans Pro" w:eastAsia="Source Sans Pro" w:cs="Source Sans Pro"/>
          <w:szCs w:val="24"/>
          <w:u w:val="single"/>
        </w:rPr>
        <w:lastRenderedPageBreak/>
        <w:t>Assess</w:t>
      </w:r>
      <w:r w:rsidRPr="2E960BCE" w:rsidR="666B4A58">
        <w:rPr>
          <w:rFonts w:ascii="Source Sans Pro" w:hAnsi="Source Sans Pro" w:eastAsia="Source Sans Pro" w:cs="Source Sans Pro"/>
          <w:szCs w:val="24"/>
          <w:u w:val="single"/>
        </w:rPr>
        <w:t xml:space="preserve"> Candidate</w:t>
      </w:r>
      <w:r w:rsidRPr="2E960BCE" w:rsidR="47B1002B">
        <w:rPr>
          <w:rStyle w:val="Heading2Char"/>
          <w:rFonts w:ascii="Source Sans Pro" w:hAnsi="Source Sans Pro" w:eastAsia="Source Sans Pro" w:cs="Source Sans Pro"/>
          <w:b/>
          <w:bCs/>
          <w:szCs w:val="24"/>
          <w:u w:val="single"/>
        </w:rPr>
        <w:t>’s</w:t>
      </w:r>
      <w:r w:rsidRPr="2E960BCE">
        <w:rPr>
          <w:rFonts w:ascii="Source Sans Pro" w:hAnsi="Source Sans Pro" w:eastAsia="Source Sans Pro" w:cs="Source Sans Pro"/>
          <w:szCs w:val="24"/>
          <w:u w:val="single"/>
        </w:rPr>
        <w:t xml:space="preserve"> </w:t>
      </w:r>
      <w:r w:rsidRPr="2E960BCE" w:rsidR="0550CC95">
        <w:rPr>
          <w:rFonts w:ascii="Source Sans Pro" w:hAnsi="Source Sans Pro" w:eastAsia="Source Sans Pro" w:cs="Source Sans Pro"/>
          <w:szCs w:val="24"/>
          <w:u w:val="single"/>
        </w:rPr>
        <w:t>R</w:t>
      </w:r>
      <w:r w:rsidRPr="2E960BCE" w:rsidR="34D31C00">
        <w:rPr>
          <w:rFonts w:ascii="Source Sans Pro" w:hAnsi="Source Sans Pro" w:eastAsia="Source Sans Pro" w:cs="Source Sans Pro"/>
          <w:szCs w:val="24"/>
          <w:u w:val="single"/>
        </w:rPr>
        <w:t>esearch</w:t>
      </w:r>
      <w:r w:rsidRPr="2E960BCE" w:rsidR="782A847C">
        <w:rPr>
          <w:rFonts w:ascii="Source Sans Pro" w:hAnsi="Source Sans Pro" w:eastAsia="Source Sans Pro" w:cs="Source Sans Pro"/>
          <w:szCs w:val="24"/>
          <w:u w:val="single"/>
        </w:rPr>
        <w:t xml:space="preserve"> and/or</w:t>
      </w:r>
      <w:r w:rsidRPr="2E960BCE" w:rsidR="34D31C00">
        <w:rPr>
          <w:rFonts w:ascii="Source Sans Pro" w:hAnsi="Source Sans Pro" w:eastAsia="Source Sans Pro" w:cs="Source Sans Pro"/>
          <w:szCs w:val="24"/>
          <w:u w:val="single"/>
        </w:rPr>
        <w:t xml:space="preserve"> </w:t>
      </w:r>
      <w:r w:rsidRPr="2E960BCE" w:rsidR="012CC44B">
        <w:rPr>
          <w:rFonts w:ascii="Source Sans Pro" w:hAnsi="Source Sans Pro" w:eastAsia="Source Sans Pro" w:cs="Source Sans Pro"/>
          <w:szCs w:val="24"/>
          <w:u w:val="single"/>
        </w:rPr>
        <w:t>C</w:t>
      </w:r>
      <w:r w:rsidRPr="2E960BCE">
        <w:rPr>
          <w:rFonts w:ascii="Source Sans Pro" w:hAnsi="Source Sans Pro" w:eastAsia="Source Sans Pro" w:cs="Source Sans Pro"/>
          <w:szCs w:val="24"/>
          <w:u w:val="single"/>
        </w:rPr>
        <w:t xml:space="preserve">reative and </w:t>
      </w:r>
      <w:r w:rsidRPr="2E960BCE" w:rsidR="4CBAFC04">
        <w:rPr>
          <w:rFonts w:ascii="Source Sans Pro" w:hAnsi="Source Sans Pro" w:eastAsia="Source Sans Pro" w:cs="Source Sans Pro"/>
          <w:szCs w:val="24"/>
          <w:u w:val="single"/>
        </w:rPr>
        <w:t>A</w:t>
      </w:r>
      <w:r w:rsidRPr="2E960BCE">
        <w:rPr>
          <w:rFonts w:ascii="Source Sans Pro" w:hAnsi="Source Sans Pro" w:eastAsia="Source Sans Pro" w:cs="Source Sans Pro"/>
          <w:szCs w:val="24"/>
          <w:u w:val="single"/>
        </w:rPr>
        <w:t xml:space="preserve">rtistic </w:t>
      </w:r>
      <w:r w:rsidRPr="2E960BCE" w:rsidR="178D8A00">
        <w:rPr>
          <w:rFonts w:ascii="Source Sans Pro" w:hAnsi="Source Sans Pro" w:eastAsia="Source Sans Pro" w:cs="Source Sans Pro"/>
          <w:szCs w:val="24"/>
          <w:u w:val="single"/>
        </w:rPr>
        <w:t>A</w:t>
      </w:r>
      <w:r w:rsidRPr="2E960BCE">
        <w:rPr>
          <w:rFonts w:ascii="Source Sans Pro" w:hAnsi="Source Sans Pro" w:eastAsia="Source Sans Pro" w:cs="Source Sans Pro"/>
          <w:szCs w:val="24"/>
          <w:u w:val="single"/>
        </w:rPr>
        <w:t>chievement</w:t>
      </w:r>
    </w:p>
    <w:p w:rsidRPr="00B763BA" w:rsidR="00FB16E5" w:rsidP="2E960BCE" w:rsidRDefault="00FB16E5" w14:paraId="68101800" w14:textId="0E8D090B">
      <w:pPr>
        <w:spacing w:after="12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In general, research, scholarship, and creative achievement </w:t>
      </w:r>
      <w:r w:rsidRPr="2E960BCE" w:rsidR="5D0984F4">
        <w:rPr>
          <w:rFonts w:ascii="Source Sans Pro" w:hAnsi="Source Sans Pro" w:eastAsia="Source Sans Pro" w:cs="Source Sans Pro"/>
          <w:color w:val="0070C0"/>
          <w:sz w:val="24"/>
          <w:szCs w:val="24"/>
        </w:rPr>
        <w:t>are</w:t>
      </w:r>
      <w:r w:rsidRPr="2E960BCE">
        <w:rPr>
          <w:rFonts w:ascii="Source Sans Pro" w:hAnsi="Source Sans Pro" w:eastAsia="Source Sans Pro" w:cs="Source Sans Pro"/>
          <w:color w:val="0070C0"/>
          <w:sz w:val="24"/>
          <w:szCs w:val="24"/>
        </w:rPr>
        <w:t xml:space="preserve"> demonstrated in the following categories. Each category applies </w:t>
      </w:r>
      <w:proofErr w:type="gramStart"/>
      <w:r w:rsidRPr="2E960BCE">
        <w:rPr>
          <w:rFonts w:ascii="Source Sans Pro" w:hAnsi="Source Sans Pro" w:eastAsia="Source Sans Pro" w:cs="Source Sans Pro"/>
          <w:color w:val="0070C0"/>
          <w:sz w:val="24"/>
          <w:szCs w:val="24"/>
        </w:rPr>
        <w:t>in a given</w:t>
      </w:r>
      <w:proofErr w:type="gramEnd"/>
      <w:r w:rsidRPr="2E960BCE">
        <w:rPr>
          <w:rFonts w:ascii="Source Sans Pro" w:hAnsi="Source Sans Pro" w:eastAsia="Source Sans Pro" w:cs="Source Sans Pro"/>
          <w:color w:val="0070C0"/>
          <w:sz w:val="24"/>
          <w:szCs w:val="24"/>
        </w:rPr>
        <w:t xml:space="preserve"> case only if that category is specified in the unit promotion and tenure policy. The standards of evaluation, unless otherwise specified by the unit policy, will be the standards established for promotion to full professor. Some categories to be considered include:</w:t>
      </w:r>
    </w:p>
    <w:p w:rsidR="00FB16E5" w:rsidP="2E960BCE" w:rsidRDefault="00FB16E5" w14:paraId="4C759AD4" w14:textId="77777777">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publications and/or creative activities of significance </w:t>
      </w:r>
      <w:proofErr w:type="gramStart"/>
      <w:r w:rsidRPr="2E960BCE">
        <w:rPr>
          <w:rFonts w:ascii="Source Sans Pro" w:hAnsi="Source Sans Pro" w:eastAsia="Source Sans Pro" w:cs="Source Sans Pro"/>
          <w:color w:val="0070C0"/>
          <w:sz w:val="24"/>
          <w:szCs w:val="24"/>
        </w:rPr>
        <w:t>and;</w:t>
      </w:r>
      <w:proofErr w:type="gramEnd"/>
      <w:r w:rsidRPr="2E960BCE">
        <w:rPr>
          <w:rFonts w:ascii="Source Sans Pro" w:hAnsi="Source Sans Pro" w:eastAsia="Source Sans Pro" w:cs="Source Sans Pro"/>
          <w:color w:val="0070C0"/>
          <w:sz w:val="24"/>
          <w:szCs w:val="24"/>
        </w:rPr>
        <w:t xml:space="preserve"> </w:t>
      </w:r>
    </w:p>
    <w:p w:rsidR="00FB16E5" w:rsidP="2E960BCE" w:rsidRDefault="00FB16E5" w14:paraId="56C1A742" w14:textId="77777777">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externally funded </w:t>
      </w:r>
      <w:proofErr w:type="gramStart"/>
      <w:r w:rsidRPr="2E960BCE">
        <w:rPr>
          <w:rFonts w:ascii="Source Sans Pro" w:hAnsi="Source Sans Pro" w:eastAsia="Source Sans Pro" w:cs="Source Sans Pro"/>
          <w:color w:val="0070C0"/>
          <w:sz w:val="24"/>
          <w:szCs w:val="24"/>
        </w:rPr>
        <w:t>research;</w:t>
      </w:r>
      <w:proofErr w:type="gramEnd"/>
      <w:r w:rsidRPr="2E960BCE">
        <w:rPr>
          <w:rFonts w:ascii="Source Sans Pro" w:hAnsi="Source Sans Pro" w:eastAsia="Source Sans Pro" w:cs="Source Sans Pro"/>
          <w:color w:val="0070C0"/>
          <w:sz w:val="24"/>
          <w:szCs w:val="24"/>
        </w:rPr>
        <w:t xml:space="preserve"> </w:t>
      </w:r>
    </w:p>
    <w:p w:rsidR="00FB16E5" w:rsidP="2E960BCE" w:rsidRDefault="00FB16E5" w14:paraId="5E3A6C8F" w14:textId="5A9F51C9">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patents, intellectual property developed; technologies licensed, companies spun</w:t>
      </w:r>
      <w:r w:rsidRPr="2E960BCE" w:rsidR="7CDCEB2B">
        <w:rPr>
          <w:rFonts w:ascii="Source Sans Pro" w:hAnsi="Source Sans Pro" w:eastAsia="Source Sans Pro" w:cs="Source Sans Pro"/>
          <w:color w:val="0070C0"/>
          <w:sz w:val="24"/>
          <w:szCs w:val="24"/>
        </w:rPr>
        <w:t xml:space="preserve"> </w:t>
      </w:r>
      <w:proofErr w:type="gramStart"/>
      <w:r w:rsidRPr="2E960BCE">
        <w:rPr>
          <w:rFonts w:ascii="Source Sans Pro" w:hAnsi="Source Sans Pro" w:eastAsia="Source Sans Pro" w:cs="Source Sans Pro"/>
          <w:color w:val="0070C0"/>
          <w:sz w:val="24"/>
          <w:szCs w:val="24"/>
        </w:rPr>
        <w:t>off;</w:t>
      </w:r>
      <w:proofErr w:type="gramEnd"/>
      <w:r w:rsidRPr="2E960BCE">
        <w:rPr>
          <w:rFonts w:ascii="Source Sans Pro" w:hAnsi="Source Sans Pro" w:eastAsia="Source Sans Pro" w:cs="Source Sans Pro"/>
          <w:color w:val="0070C0"/>
          <w:sz w:val="24"/>
          <w:szCs w:val="24"/>
        </w:rPr>
        <w:t xml:space="preserve"> </w:t>
      </w:r>
    </w:p>
    <w:p w:rsidR="00FB16E5" w:rsidP="2E960BCE" w:rsidRDefault="00FB16E5" w14:paraId="0263A523" w14:textId="1ADA02A2">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adoptions of research innovations by other researchers, organizations, or the</w:t>
      </w:r>
      <w:r w:rsidRPr="2E960BCE" w:rsidR="5A037C88">
        <w:rPr>
          <w:rFonts w:ascii="Source Sans Pro" w:hAnsi="Source Sans Pro" w:eastAsia="Source Sans Pro" w:cs="Source Sans Pro"/>
          <w:color w:val="0070C0"/>
          <w:sz w:val="24"/>
          <w:szCs w:val="24"/>
        </w:rPr>
        <w:t xml:space="preserve"> </w:t>
      </w:r>
      <w:proofErr w:type="gramStart"/>
      <w:r w:rsidRPr="2E960BCE">
        <w:rPr>
          <w:rFonts w:ascii="Source Sans Pro" w:hAnsi="Source Sans Pro" w:eastAsia="Source Sans Pro" w:cs="Source Sans Pro"/>
          <w:color w:val="0070C0"/>
          <w:sz w:val="24"/>
          <w:szCs w:val="24"/>
        </w:rPr>
        <w:t>public;</w:t>
      </w:r>
      <w:proofErr w:type="gramEnd"/>
    </w:p>
    <w:p w:rsidR="00FB16E5" w:rsidP="2E960BCE" w:rsidRDefault="00FB16E5" w14:paraId="43C2D481" w14:textId="77777777">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research awards and </w:t>
      </w:r>
      <w:proofErr w:type="gramStart"/>
      <w:r w:rsidRPr="2E960BCE">
        <w:rPr>
          <w:rFonts w:ascii="Source Sans Pro" w:hAnsi="Source Sans Pro" w:eastAsia="Source Sans Pro" w:cs="Source Sans Pro"/>
          <w:color w:val="0070C0"/>
          <w:sz w:val="24"/>
          <w:szCs w:val="24"/>
        </w:rPr>
        <w:t>prizes;</w:t>
      </w:r>
      <w:proofErr w:type="gramEnd"/>
    </w:p>
    <w:p w:rsidR="00FB16E5" w:rsidP="2E960BCE" w:rsidRDefault="00FB16E5" w14:paraId="245F39D3" w14:textId="77777777">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membership in the national academies or other selective research </w:t>
      </w:r>
      <w:proofErr w:type="gramStart"/>
      <w:r w:rsidRPr="2E960BCE">
        <w:rPr>
          <w:rFonts w:ascii="Source Sans Pro" w:hAnsi="Source Sans Pro" w:eastAsia="Source Sans Pro" w:cs="Source Sans Pro"/>
          <w:color w:val="0070C0"/>
          <w:sz w:val="24"/>
          <w:szCs w:val="24"/>
        </w:rPr>
        <w:t>societies;</w:t>
      </w:r>
      <w:proofErr w:type="gramEnd"/>
      <w:r w:rsidRPr="2E960BCE">
        <w:rPr>
          <w:rFonts w:ascii="Source Sans Pro" w:hAnsi="Source Sans Pro" w:eastAsia="Source Sans Pro" w:cs="Source Sans Pro"/>
          <w:color w:val="0070C0"/>
          <w:sz w:val="24"/>
          <w:szCs w:val="24"/>
        </w:rPr>
        <w:t xml:space="preserve"> </w:t>
      </w:r>
    </w:p>
    <w:p w:rsidR="00FB16E5" w:rsidP="2E960BCE" w:rsidRDefault="00FB16E5" w14:paraId="743A1FC7" w14:textId="7864CA7A">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research in progress and substantially planned work (including grant proposals);</w:t>
      </w:r>
      <w:r>
        <w:br/>
      </w:r>
      <w:r w:rsidRPr="2E960BCE">
        <w:rPr>
          <w:rFonts w:ascii="Source Sans Pro" w:hAnsi="Source Sans Pro" w:eastAsia="Source Sans Pro" w:cs="Source Sans Pro"/>
          <w:color w:val="0070C0"/>
          <w:sz w:val="24"/>
          <w:szCs w:val="24"/>
        </w:rPr>
        <w:t>h. translational research or scholarship that influences public policy or contributes to</w:t>
      </w:r>
      <w:r w:rsidRPr="2E960BCE" w:rsidR="22B4657F">
        <w:rPr>
          <w:rFonts w:ascii="Source Sans Pro" w:hAnsi="Source Sans Pro" w:eastAsia="Source Sans Pro" w:cs="Source Sans Pro"/>
          <w:color w:val="0070C0"/>
          <w:sz w:val="24"/>
          <w:szCs w:val="24"/>
        </w:rPr>
        <w:t xml:space="preserve"> </w:t>
      </w:r>
      <w:r w:rsidRPr="2E960BCE">
        <w:rPr>
          <w:rFonts w:ascii="Source Sans Pro" w:hAnsi="Source Sans Pro" w:eastAsia="Source Sans Pro" w:cs="Source Sans Pro"/>
          <w:color w:val="0070C0"/>
          <w:sz w:val="24"/>
          <w:szCs w:val="24"/>
        </w:rPr>
        <w:t xml:space="preserve">societal </w:t>
      </w:r>
      <w:proofErr w:type="gramStart"/>
      <w:r w:rsidRPr="2E960BCE">
        <w:rPr>
          <w:rFonts w:ascii="Source Sans Pro" w:hAnsi="Source Sans Pro" w:eastAsia="Source Sans Pro" w:cs="Source Sans Pro"/>
          <w:color w:val="0070C0"/>
          <w:sz w:val="24"/>
          <w:szCs w:val="24"/>
        </w:rPr>
        <w:t>benefits;</w:t>
      </w:r>
      <w:proofErr w:type="gramEnd"/>
    </w:p>
    <w:p w:rsidR="00FB16E5" w:rsidP="2E960BCE" w:rsidRDefault="00FB16E5" w14:paraId="74E2041C" w14:textId="77777777">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participation in conferences, conventions, seminars, and professional </w:t>
      </w:r>
      <w:proofErr w:type="gramStart"/>
      <w:r w:rsidRPr="2E960BCE">
        <w:rPr>
          <w:rFonts w:ascii="Source Sans Pro" w:hAnsi="Source Sans Pro" w:eastAsia="Source Sans Pro" w:cs="Source Sans Pro"/>
          <w:color w:val="0070C0"/>
          <w:sz w:val="24"/>
          <w:szCs w:val="24"/>
        </w:rPr>
        <w:t>meetings;</w:t>
      </w:r>
      <w:proofErr w:type="gramEnd"/>
    </w:p>
    <w:p w:rsidR="00FB16E5" w:rsidP="2E960BCE" w:rsidRDefault="00FB16E5" w14:paraId="1DC498E4" w14:textId="77777777">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professional peer review, holding office in academic and professional </w:t>
      </w:r>
    </w:p>
    <w:p w:rsidR="00FB16E5" w:rsidP="2E960BCE" w:rsidRDefault="00FB16E5" w14:paraId="1A2A19E7" w14:textId="77777777">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organizations, serving on committees and/or on editorial </w:t>
      </w:r>
      <w:proofErr w:type="gramStart"/>
      <w:r w:rsidRPr="2E960BCE">
        <w:rPr>
          <w:rFonts w:ascii="Source Sans Pro" w:hAnsi="Source Sans Pro" w:eastAsia="Source Sans Pro" w:cs="Source Sans Pro"/>
          <w:color w:val="0070C0"/>
          <w:sz w:val="24"/>
          <w:szCs w:val="24"/>
        </w:rPr>
        <w:t>boards;</w:t>
      </w:r>
      <w:proofErr w:type="gramEnd"/>
      <w:r w:rsidRPr="2E960BCE">
        <w:rPr>
          <w:rFonts w:ascii="Source Sans Pro" w:hAnsi="Source Sans Pro" w:eastAsia="Source Sans Pro" w:cs="Source Sans Pro"/>
          <w:color w:val="0070C0"/>
          <w:sz w:val="24"/>
          <w:szCs w:val="24"/>
        </w:rPr>
        <w:t xml:space="preserve"> </w:t>
      </w:r>
    </w:p>
    <w:p w:rsidR="00FB16E5" w:rsidP="2E960BCE" w:rsidRDefault="00FB16E5" w14:paraId="5C3079CC" w14:textId="77777777">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association with organizations and groups that will result in professional</w:t>
      </w:r>
      <w:r>
        <w:br/>
      </w:r>
      <w:r w:rsidRPr="2E960BCE">
        <w:rPr>
          <w:rFonts w:ascii="Source Sans Pro" w:hAnsi="Source Sans Pro" w:eastAsia="Source Sans Pro" w:cs="Source Sans Pro"/>
          <w:color w:val="0070C0"/>
          <w:sz w:val="24"/>
          <w:szCs w:val="24"/>
        </w:rPr>
        <w:t xml:space="preserve">improvement of the faculty member and bring recognition to the </w:t>
      </w:r>
      <w:proofErr w:type="gramStart"/>
      <w:r w:rsidRPr="2E960BCE">
        <w:rPr>
          <w:rFonts w:ascii="Source Sans Pro" w:hAnsi="Source Sans Pro" w:eastAsia="Source Sans Pro" w:cs="Source Sans Pro"/>
          <w:color w:val="0070C0"/>
          <w:sz w:val="24"/>
          <w:szCs w:val="24"/>
        </w:rPr>
        <w:t>university;</w:t>
      </w:r>
      <w:proofErr w:type="gramEnd"/>
    </w:p>
    <w:p w:rsidR="00FB16E5" w:rsidP="2E960BCE" w:rsidRDefault="00FB16E5" w14:paraId="4ABD80DE" w14:textId="4C2A3186">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research or professional consultation for federal agencies, foundations, or other</w:t>
      </w:r>
      <w:r w:rsidRPr="2E960BCE" w:rsidR="142EF2DF">
        <w:rPr>
          <w:rFonts w:ascii="Source Sans Pro" w:hAnsi="Source Sans Pro" w:eastAsia="Source Sans Pro" w:cs="Source Sans Pro"/>
          <w:color w:val="0070C0"/>
          <w:sz w:val="24"/>
          <w:szCs w:val="24"/>
        </w:rPr>
        <w:t xml:space="preserve"> </w:t>
      </w:r>
      <w:r w:rsidRPr="2E960BCE">
        <w:rPr>
          <w:rFonts w:ascii="Source Sans Pro" w:hAnsi="Source Sans Pro" w:eastAsia="Source Sans Pro" w:cs="Source Sans Pro"/>
          <w:color w:val="0070C0"/>
          <w:sz w:val="24"/>
          <w:szCs w:val="24"/>
        </w:rPr>
        <w:t xml:space="preserve">research </w:t>
      </w:r>
      <w:proofErr w:type="gramStart"/>
      <w:r w:rsidRPr="2E960BCE">
        <w:rPr>
          <w:rFonts w:ascii="Source Sans Pro" w:hAnsi="Source Sans Pro" w:eastAsia="Source Sans Pro" w:cs="Source Sans Pro"/>
          <w:color w:val="0070C0"/>
          <w:sz w:val="24"/>
          <w:szCs w:val="24"/>
        </w:rPr>
        <w:t>sponsors;</w:t>
      </w:r>
      <w:proofErr w:type="gramEnd"/>
    </w:p>
    <w:p w:rsidR="00FB16E5" w:rsidP="2E960BCE" w:rsidRDefault="00FB16E5" w14:paraId="6305A4DB" w14:textId="77777777">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recognized evidence of scholarly and professional visibility, such as special</w:t>
      </w:r>
      <w:r>
        <w:br/>
      </w:r>
      <w:r w:rsidRPr="2E960BCE">
        <w:rPr>
          <w:rFonts w:ascii="Source Sans Pro" w:hAnsi="Source Sans Pro" w:eastAsia="Source Sans Pro" w:cs="Source Sans Pro"/>
          <w:color w:val="0070C0"/>
          <w:sz w:val="24"/>
          <w:szCs w:val="24"/>
        </w:rPr>
        <w:t xml:space="preserve">awards, scholarly citations, and the republication of </w:t>
      </w:r>
      <w:proofErr w:type="gramStart"/>
      <w:r w:rsidRPr="2E960BCE">
        <w:rPr>
          <w:rFonts w:ascii="Source Sans Pro" w:hAnsi="Source Sans Pro" w:eastAsia="Source Sans Pro" w:cs="Source Sans Pro"/>
          <w:color w:val="0070C0"/>
          <w:sz w:val="24"/>
          <w:szCs w:val="24"/>
        </w:rPr>
        <w:t>work;</w:t>
      </w:r>
      <w:proofErr w:type="gramEnd"/>
    </w:p>
    <w:p w:rsidR="00FB16E5" w:rsidP="2E960BCE" w:rsidRDefault="00FB16E5" w14:paraId="6A924816" w14:textId="6B48FA1F">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scope and depth of scholarship as revealed in public lectures, book reviews, and,</w:t>
      </w:r>
      <w:r w:rsidRPr="2E960BCE" w:rsidR="0C55A1DA">
        <w:rPr>
          <w:rFonts w:ascii="Source Sans Pro" w:hAnsi="Source Sans Pro" w:eastAsia="Source Sans Pro" w:cs="Source Sans Pro"/>
          <w:color w:val="0070C0"/>
          <w:sz w:val="24"/>
          <w:szCs w:val="24"/>
        </w:rPr>
        <w:t xml:space="preserve"> </w:t>
      </w:r>
      <w:r w:rsidRPr="2E960BCE">
        <w:rPr>
          <w:rFonts w:ascii="Source Sans Pro" w:hAnsi="Source Sans Pro" w:eastAsia="Source Sans Pro" w:cs="Source Sans Pro"/>
          <w:color w:val="0070C0"/>
          <w:sz w:val="24"/>
          <w:szCs w:val="24"/>
        </w:rPr>
        <w:t xml:space="preserve">in special circumstances, </w:t>
      </w:r>
      <w:proofErr w:type="gramStart"/>
      <w:r w:rsidRPr="2E960BCE">
        <w:rPr>
          <w:rFonts w:ascii="Source Sans Pro" w:hAnsi="Source Sans Pro" w:eastAsia="Source Sans Pro" w:cs="Source Sans Pro"/>
          <w:color w:val="0070C0"/>
          <w:sz w:val="24"/>
          <w:szCs w:val="24"/>
        </w:rPr>
        <w:t>discussions;</w:t>
      </w:r>
      <w:proofErr w:type="gramEnd"/>
    </w:p>
    <w:p w:rsidR="00FB16E5" w:rsidP="2E960BCE" w:rsidRDefault="00FB16E5" w14:paraId="08E46EBA" w14:textId="16889DE3">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works of art, such as painting, sculpture, design, planning, musical composition,</w:t>
      </w:r>
      <w:r w:rsidRPr="2E960BCE" w:rsidR="63B9E9B5">
        <w:rPr>
          <w:rFonts w:ascii="Source Sans Pro" w:hAnsi="Source Sans Pro" w:eastAsia="Source Sans Pro" w:cs="Source Sans Pro"/>
          <w:color w:val="0070C0"/>
          <w:sz w:val="24"/>
          <w:szCs w:val="24"/>
        </w:rPr>
        <w:t xml:space="preserve"> </w:t>
      </w:r>
      <w:r w:rsidRPr="2E960BCE">
        <w:rPr>
          <w:rFonts w:ascii="Source Sans Pro" w:hAnsi="Source Sans Pro" w:eastAsia="Source Sans Pro" w:cs="Source Sans Pro"/>
          <w:color w:val="0070C0"/>
          <w:sz w:val="24"/>
          <w:szCs w:val="24"/>
        </w:rPr>
        <w:t>poetry, fiction, drama, dance, photography, and film disseminated or exhibited in</w:t>
      </w:r>
      <w:r w:rsidRPr="2E960BCE" w:rsidR="2A1714C5">
        <w:rPr>
          <w:rFonts w:ascii="Source Sans Pro" w:hAnsi="Source Sans Pro" w:eastAsia="Source Sans Pro" w:cs="Source Sans Pro"/>
          <w:color w:val="0070C0"/>
          <w:sz w:val="24"/>
          <w:szCs w:val="24"/>
        </w:rPr>
        <w:t xml:space="preserve"> </w:t>
      </w:r>
      <w:r w:rsidRPr="2E960BCE">
        <w:rPr>
          <w:rFonts w:ascii="Source Sans Pro" w:hAnsi="Source Sans Pro" w:eastAsia="Source Sans Pro" w:cs="Source Sans Pro"/>
          <w:color w:val="0070C0"/>
          <w:sz w:val="24"/>
          <w:szCs w:val="24"/>
        </w:rPr>
        <w:t xml:space="preserve">recognized venues of quality and </w:t>
      </w:r>
      <w:proofErr w:type="gramStart"/>
      <w:r w:rsidRPr="2E960BCE">
        <w:rPr>
          <w:rFonts w:ascii="Source Sans Pro" w:hAnsi="Source Sans Pro" w:eastAsia="Source Sans Pro" w:cs="Source Sans Pro"/>
          <w:color w:val="0070C0"/>
          <w:sz w:val="24"/>
          <w:szCs w:val="24"/>
        </w:rPr>
        <w:t>distinction;</w:t>
      </w:r>
      <w:proofErr w:type="gramEnd"/>
    </w:p>
    <w:p w:rsidR="00FB16E5" w:rsidP="2E960BCE" w:rsidRDefault="00FB16E5" w14:paraId="3E789D47" w14:textId="3B901A8E">
      <w:pPr>
        <w:pStyle w:val="ListParagraph"/>
        <w:numPr>
          <w:ilvl w:val="0"/>
          <w:numId w:val="26"/>
        </w:numPr>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public performances: musical recitals, concerts, conducting, theater performance</w:t>
      </w:r>
      <w:r w:rsidRPr="2E960BCE" w:rsidR="0DD91E48">
        <w:rPr>
          <w:rFonts w:ascii="Source Sans Pro" w:hAnsi="Source Sans Pro" w:eastAsia="Source Sans Pro" w:cs="Source Sans Pro"/>
          <w:color w:val="0070C0"/>
          <w:sz w:val="24"/>
          <w:szCs w:val="24"/>
        </w:rPr>
        <w:t xml:space="preserve"> </w:t>
      </w:r>
      <w:r w:rsidRPr="2E960BCE">
        <w:rPr>
          <w:rFonts w:ascii="Source Sans Pro" w:hAnsi="Source Sans Pro" w:eastAsia="Source Sans Pro" w:cs="Source Sans Pro"/>
          <w:color w:val="0070C0"/>
          <w:sz w:val="24"/>
          <w:szCs w:val="24"/>
        </w:rPr>
        <w:t>and production, dance performance and production, radio or television production</w:t>
      </w:r>
      <w:r w:rsidRPr="2E960BCE" w:rsidR="759F92BC">
        <w:rPr>
          <w:rFonts w:ascii="Source Sans Pro" w:hAnsi="Source Sans Pro" w:eastAsia="Source Sans Pro" w:cs="Source Sans Pro"/>
          <w:color w:val="0070C0"/>
          <w:sz w:val="24"/>
          <w:szCs w:val="24"/>
        </w:rPr>
        <w:t xml:space="preserve"> </w:t>
      </w:r>
      <w:r w:rsidRPr="2E960BCE">
        <w:rPr>
          <w:rFonts w:ascii="Source Sans Pro" w:hAnsi="Source Sans Pro" w:eastAsia="Source Sans Pro" w:cs="Source Sans Pro"/>
          <w:color w:val="0070C0"/>
          <w:sz w:val="24"/>
          <w:szCs w:val="24"/>
        </w:rPr>
        <w:t xml:space="preserve">disseminated/exhibited in recognized venues of quality and </w:t>
      </w:r>
      <w:proofErr w:type="gramStart"/>
      <w:r w:rsidRPr="2E960BCE">
        <w:rPr>
          <w:rFonts w:ascii="Source Sans Pro" w:hAnsi="Source Sans Pro" w:eastAsia="Source Sans Pro" w:cs="Source Sans Pro"/>
          <w:color w:val="0070C0"/>
          <w:sz w:val="24"/>
          <w:szCs w:val="24"/>
        </w:rPr>
        <w:t>distinction;</w:t>
      </w:r>
      <w:proofErr w:type="gramEnd"/>
    </w:p>
    <w:p w:rsidRPr="00B763BA" w:rsidR="00FB16E5" w:rsidP="2E960BCE" w:rsidRDefault="00FB16E5" w14:paraId="3436801D" w14:textId="2C791F39">
      <w:pPr>
        <w:pStyle w:val="ListParagraph"/>
        <w:numPr>
          <w:ilvl w:val="0"/>
          <w:numId w:val="26"/>
        </w:numPr>
        <w:spacing w:after="240"/>
        <w:ind w:left="90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public recognition: exhibitions, commissions, acceptance of work for permanent</w:t>
      </w:r>
      <w:r w:rsidRPr="2E960BCE" w:rsidR="6F9113FF">
        <w:rPr>
          <w:rFonts w:ascii="Source Sans Pro" w:hAnsi="Source Sans Pro" w:eastAsia="Source Sans Pro" w:cs="Source Sans Pro"/>
          <w:color w:val="0070C0"/>
          <w:sz w:val="24"/>
          <w:szCs w:val="24"/>
        </w:rPr>
        <w:t xml:space="preserve"> </w:t>
      </w:r>
      <w:r w:rsidRPr="2E960BCE">
        <w:rPr>
          <w:rFonts w:ascii="Source Sans Pro" w:hAnsi="Source Sans Pro" w:eastAsia="Source Sans Pro" w:cs="Source Sans Pro"/>
          <w:color w:val="0070C0"/>
          <w:sz w:val="24"/>
          <w:szCs w:val="24"/>
        </w:rPr>
        <w:t>collections, awards.</w:t>
      </w:r>
    </w:p>
    <w:p w:rsidR="00FB16E5" w:rsidP="2E960BCE" w:rsidRDefault="00FB16E5" w14:paraId="29DDB1C7" w14:textId="333A15B2">
      <w:pPr>
        <w:pStyle w:val="Heading2"/>
        <w:spacing w:after="120"/>
        <w:rPr>
          <w:rFonts w:ascii="Source Sans Pro" w:hAnsi="Source Sans Pro" w:eastAsia="Source Sans Pro" w:cs="Source Sans Pro"/>
          <w:szCs w:val="24"/>
          <w:u w:val="single"/>
        </w:rPr>
      </w:pPr>
      <w:r w:rsidRPr="2E960BCE">
        <w:rPr>
          <w:rFonts w:ascii="Source Sans Pro" w:hAnsi="Source Sans Pro" w:eastAsia="Source Sans Pro" w:cs="Source Sans Pro"/>
          <w:szCs w:val="24"/>
          <w:u w:val="single"/>
        </w:rPr>
        <w:t xml:space="preserve">Assess </w:t>
      </w:r>
      <w:r w:rsidRPr="2E960BCE" w:rsidR="7DB03224">
        <w:rPr>
          <w:rStyle w:val="Heading2Char"/>
          <w:rFonts w:ascii="Source Sans Pro" w:hAnsi="Source Sans Pro" w:eastAsia="Source Sans Pro" w:cs="Source Sans Pro"/>
          <w:b/>
          <w:bCs/>
          <w:szCs w:val="24"/>
          <w:u w:val="single"/>
        </w:rPr>
        <w:t>C</w:t>
      </w:r>
      <w:r w:rsidRPr="2E960BCE" w:rsidR="0118CDC6">
        <w:rPr>
          <w:rStyle w:val="Heading2Char"/>
          <w:rFonts w:ascii="Source Sans Pro" w:hAnsi="Source Sans Pro" w:eastAsia="Source Sans Pro" w:cs="Source Sans Pro"/>
          <w:b/>
          <w:bCs/>
          <w:szCs w:val="24"/>
          <w:u w:val="single"/>
        </w:rPr>
        <w:t>andidate</w:t>
      </w:r>
      <w:r w:rsidRPr="2E960BCE" w:rsidR="1C63B5D2">
        <w:rPr>
          <w:rStyle w:val="Heading2Char"/>
          <w:rFonts w:ascii="Source Sans Pro" w:hAnsi="Source Sans Pro" w:eastAsia="Source Sans Pro" w:cs="Source Sans Pro"/>
          <w:b/>
          <w:bCs/>
          <w:szCs w:val="24"/>
          <w:u w:val="single"/>
        </w:rPr>
        <w:t>’s</w:t>
      </w:r>
      <w:r w:rsidRPr="2E960BCE">
        <w:rPr>
          <w:rFonts w:ascii="Source Sans Pro" w:hAnsi="Source Sans Pro" w:eastAsia="Source Sans Pro" w:cs="Source Sans Pro"/>
          <w:szCs w:val="24"/>
          <w:u w:val="single"/>
        </w:rPr>
        <w:t xml:space="preserve"> </w:t>
      </w:r>
      <w:r w:rsidRPr="2E960BCE" w:rsidR="5A91C927">
        <w:rPr>
          <w:rFonts w:ascii="Source Sans Pro" w:hAnsi="Source Sans Pro" w:eastAsia="Source Sans Pro" w:cs="Source Sans Pro"/>
          <w:szCs w:val="24"/>
          <w:u w:val="single"/>
        </w:rPr>
        <w:t>S</w:t>
      </w:r>
      <w:r w:rsidRPr="2E960BCE">
        <w:rPr>
          <w:rFonts w:ascii="Source Sans Pro" w:hAnsi="Source Sans Pro" w:eastAsia="Source Sans Pro" w:cs="Source Sans Pro"/>
          <w:szCs w:val="24"/>
          <w:u w:val="single"/>
        </w:rPr>
        <w:t>ervice</w:t>
      </w:r>
    </w:p>
    <w:p w:rsidRPr="00B763BA" w:rsidR="00FB16E5" w:rsidP="2E960BCE" w:rsidRDefault="00FB16E5" w14:paraId="38F9DF95" w14:textId="77777777">
      <w:pPr>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Consistent with promotion to full professor as specified in the collective bargaining agreement, senior faculty are expected to engage in significant service demonstrating leadership and </w:t>
      </w:r>
      <w:r w:rsidRPr="2E960BCE">
        <w:rPr>
          <w:rFonts w:ascii="Source Sans Pro" w:hAnsi="Source Sans Pro" w:eastAsia="Source Sans Pro" w:cs="Source Sans Pro"/>
          <w:color w:val="0070C0"/>
          <w:sz w:val="24"/>
          <w:szCs w:val="24"/>
        </w:rPr>
        <w:lastRenderedPageBreak/>
        <w:t>commitment both within and outside the candidate’s department or unit. Service must include some of the following:</w:t>
      </w:r>
    </w:p>
    <w:p w:rsidRPr="00D554DD" w:rsidR="00FB16E5" w:rsidP="2E960BCE" w:rsidRDefault="00FB16E5" w14:paraId="386E5DE1" w14:textId="541402AE">
      <w:pPr>
        <w:pStyle w:val="ListParagraph"/>
        <w:numPr>
          <w:ilvl w:val="0"/>
          <w:numId w:val="1"/>
        </w:numPr>
        <w:spacing w:line="240" w:lineRule="auto"/>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leadership in academic and administrative roles:</w:t>
      </w:r>
    </w:p>
    <w:p w:rsidRPr="00D554DD" w:rsidR="00FB16E5" w:rsidP="2E960BCE" w:rsidRDefault="00FB16E5" w14:paraId="7A67992B" w14:textId="4DA54737">
      <w:pPr>
        <w:pStyle w:val="ListParagraph"/>
        <w:numPr>
          <w:ilvl w:val="1"/>
          <w:numId w:val="1"/>
        </w:numPr>
        <w:spacing w:line="240" w:lineRule="auto"/>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academic program area or departmental administration and </w:t>
      </w:r>
      <w:proofErr w:type="gramStart"/>
      <w:r w:rsidRPr="2E960BCE">
        <w:rPr>
          <w:rFonts w:ascii="Source Sans Pro" w:hAnsi="Source Sans Pro" w:eastAsia="Source Sans Pro" w:cs="Source Sans Pro"/>
          <w:color w:val="0070C0"/>
          <w:sz w:val="24"/>
          <w:szCs w:val="24"/>
        </w:rPr>
        <w:t>curriculum;</w:t>
      </w:r>
      <w:proofErr w:type="gramEnd"/>
    </w:p>
    <w:p w:rsidRPr="00D554DD" w:rsidR="00FB16E5" w:rsidP="2E960BCE" w:rsidRDefault="00FB16E5" w14:paraId="4CFE5584" w14:textId="458C5EF3">
      <w:pPr>
        <w:pStyle w:val="ListParagraph"/>
        <w:numPr>
          <w:ilvl w:val="1"/>
          <w:numId w:val="1"/>
        </w:numPr>
        <w:spacing w:line="240" w:lineRule="auto"/>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personnel and policy committees or </w:t>
      </w:r>
      <w:proofErr w:type="gramStart"/>
      <w:r w:rsidRPr="2E960BCE">
        <w:rPr>
          <w:rFonts w:ascii="Source Sans Pro" w:hAnsi="Source Sans Pro" w:eastAsia="Source Sans Pro" w:cs="Source Sans Pro"/>
          <w:color w:val="0070C0"/>
          <w:sz w:val="24"/>
          <w:szCs w:val="24"/>
        </w:rPr>
        <w:t>activities;</w:t>
      </w:r>
      <w:proofErr w:type="gramEnd"/>
    </w:p>
    <w:p w:rsidRPr="00D554DD" w:rsidR="00FB16E5" w:rsidP="2E960BCE" w:rsidRDefault="00FB16E5" w14:paraId="3E1464B3" w14:textId="3E1C80AA">
      <w:pPr>
        <w:pStyle w:val="ListParagraph"/>
        <w:numPr>
          <w:ilvl w:val="1"/>
          <w:numId w:val="1"/>
        </w:numPr>
        <w:spacing w:line="240" w:lineRule="auto"/>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college or school administration and committees or </w:t>
      </w:r>
      <w:proofErr w:type="gramStart"/>
      <w:r w:rsidRPr="2E960BCE">
        <w:rPr>
          <w:rFonts w:ascii="Source Sans Pro" w:hAnsi="Source Sans Pro" w:eastAsia="Source Sans Pro" w:cs="Source Sans Pro"/>
          <w:color w:val="0070C0"/>
          <w:sz w:val="24"/>
          <w:szCs w:val="24"/>
        </w:rPr>
        <w:t>activities;</w:t>
      </w:r>
      <w:proofErr w:type="gramEnd"/>
    </w:p>
    <w:p w:rsidRPr="00D554DD" w:rsidR="00FB16E5" w:rsidP="2E960BCE" w:rsidRDefault="00FB16E5" w14:paraId="76965DF5" w14:textId="7393D4D7">
      <w:pPr>
        <w:pStyle w:val="ListParagraph"/>
        <w:numPr>
          <w:ilvl w:val="1"/>
          <w:numId w:val="1"/>
        </w:numPr>
        <w:spacing w:line="240" w:lineRule="auto"/>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university or state system administration and committees or </w:t>
      </w:r>
      <w:proofErr w:type="gramStart"/>
      <w:r w:rsidRPr="2E960BCE">
        <w:rPr>
          <w:rFonts w:ascii="Source Sans Pro" w:hAnsi="Source Sans Pro" w:eastAsia="Source Sans Pro" w:cs="Source Sans Pro"/>
          <w:color w:val="0070C0"/>
          <w:sz w:val="24"/>
          <w:szCs w:val="24"/>
        </w:rPr>
        <w:t>activities;</w:t>
      </w:r>
      <w:proofErr w:type="gramEnd"/>
    </w:p>
    <w:p w:rsidRPr="00D554DD" w:rsidR="00FB16E5" w:rsidP="2E960BCE" w:rsidRDefault="00FB16E5" w14:paraId="684481AC" w14:textId="1528BFAA">
      <w:pPr>
        <w:pStyle w:val="ListParagraph"/>
        <w:numPr>
          <w:ilvl w:val="0"/>
          <w:numId w:val="1"/>
        </w:numPr>
        <w:spacing w:line="240" w:lineRule="auto"/>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service and activities on behalf of the larger community (local, state, national, and</w:t>
      </w:r>
      <w:r w:rsidRPr="2E960BCE" w:rsidR="340F5FCD">
        <w:rPr>
          <w:rFonts w:ascii="Source Sans Pro" w:hAnsi="Source Sans Pro" w:eastAsia="Source Sans Pro" w:cs="Source Sans Pro"/>
          <w:color w:val="0070C0"/>
          <w:sz w:val="24"/>
          <w:szCs w:val="24"/>
        </w:rPr>
        <w:t xml:space="preserve"> </w:t>
      </w:r>
      <w:r w:rsidRPr="2E960BCE">
        <w:rPr>
          <w:rFonts w:ascii="Source Sans Pro" w:hAnsi="Source Sans Pro" w:eastAsia="Source Sans Pro" w:cs="Source Sans Pro"/>
          <w:color w:val="0070C0"/>
          <w:sz w:val="24"/>
          <w:szCs w:val="24"/>
        </w:rPr>
        <w:t>international governmental bodies, NGOs, etc.</w:t>
      </w:r>
      <w:proofErr w:type="gramStart"/>
      <w:r w:rsidRPr="2E960BCE">
        <w:rPr>
          <w:rFonts w:ascii="Source Sans Pro" w:hAnsi="Source Sans Pro" w:eastAsia="Source Sans Pro" w:cs="Source Sans Pro"/>
          <w:color w:val="0070C0"/>
          <w:sz w:val="24"/>
          <w:szCs w:val="24"/>
        </w:rPr>
        <w:t>);</w:t>
      </w:r>
      <w:proofErr w:type="gramEnd"/>
    </w:p>
    <w:p w:rsidRPr="00D554DD" w:rsidR="00FB16E5" w:rsidP="2E960BCE" w:rsidRDefault="00FB16E5" w14:paraId="4EC22CCA" w14:textId="64C201BA">
      <w:pPr>
        <w:pStyle w:val="ListParagraph"/>
        <w:numPr>
          <w:ilvl w:val="0"/>
          <w:numId w:val="1"/>
        </w:numPr>
        <w:spacing w:line="240" w:lineRule="auto"/>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academic contributions to community activities, either as an individual or as a</w:t>
      </w:r>
      <w:r w:rsidRPr="2E960BCE" w:rsidR="4E4007E6">
        <w:rPr>
          <w:rFonts w:ascii="Source Sans Pro" w:hAnsi="Source Sans Pro" w:eastAsia="Source Sans Pro" w:cs="Source Sans Pro"/>
          <w:color w:val="0070C0"/>
          <w:sz w:val="24"/>
          <w:szCs w:val="24"/>
        </w:rPr>
        <w:t xml:space="preserve"> </w:t>
      </w:r>
      <w:r w:rsidRPr="2E960BCE">
        <w:rPr>
          <w:rFonts w:ascii="Source Sans Pro" w:hAnsi="Source Sans Pro" w:eastAsia="Source Sans Pro" w:cs="Source Sans Pro"/>
          <w:color w:val="0070C0"/>
          <w:sz w:val="24"/>
          <w:szCs w:val="24"/>
        </w:rPr>
        <w:t xml:space="preserve">representative of the </w:t>
      </w:r>
      <w:proofErr w:type="gramStart"/>
      <w:r w:rsidRPr="2E960BCE">
        <w:rPr>
          <w:rFonts w:ascii="Source Sans Pro" w:hAnsi="Source Sans Pro" w:eastAsia="Source Sans Pro" w:cs="Source Sans Pro"/>
          <w:color w:val="0070C0"/>
          <w:sz w:val="24"/>
          <w:szCs w:val="24"/>
        </w:rPr>
        <w:t>university;</w:t>
      </w:r>
      <w:proofErr w:type="gramEnd"/>
    </w:p>
    <w:p w:rsidRPr="00D554DD" w:rsidR="00FB16E5" w:rsidP="2E960BCE" w:rsidRDefault="00FB16E5" w14:paraId="6E4EBA36" w14:textId="467141F1">
      <w:pPr>
        <w:pStyle w:val="ListParagraph"/>
        <w:numPr>
          <w:ilvl w:val="0"/>
          <w:numId w:val="1"/>
        </w:numPr>
        <w:spacing w:line="240" w:lineRule="auto"/>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 xml:space="preserve">service to professional and disciplinary </w:t>
      </w:r>
      <w:proofErr w:type="gramStart"/>
      <w:r w:rsidRPr="2E960BCE">
        <w:rPr>
          <w:rFonts w:ascii="Source Sans Pro" w:hAnsi="Source Sans Pro" w:eastAsia="Source Sans Pro" w:cs="Source Sans Pro"/>
          <w:color w:val="0070C0"/>
          <w:sz w:val="24"/>
          <w:szCs w:val="24"/>
        </w:rPr>
        <w:t>organizations;</w:t>
      </w:r>
      <w:proofErr w:type="gramEnd"/>
    </w:p>
    <w:p w:rsidRPr="00D554DD" w:rsidR="00FB16E5" w:rsidP="2E960BCE" w:rsidRDefault="00FB16E5" w14:paraId="4847CC2A" w14:textId="505150AC">
      <w:pPr>
        <w:pStyle w:val="ListParagraph"/>
        <w:numPr>
          <w:ilvl w:val="0"/>
          <w:numId w:val="1"/>
        </w:numPr>
        <w:spacing w:line="240" w:lineRule="auto"/>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academic service on behalf of the public interest.</w:t>
      </w:r>
    </w:p>
    <w:p w:rsidR="000D08CA" w:rsidP="2E960BCE" w:rsidRDefault="58D9F083" w14:paraId="687606F7" w14:textId="591DC53E">
      <w:pPr>
        <w:pStyle w:val="Heading2"/>
        <w:spacing w:after="120"/>
        <w:rPr>
          <w:rFonts w:ascii="Source Sans Pro" w:hAnsi="Source Sans Pro" w:eastAsia="Source Sans Pro" w:cs="Source Sans Pro"/>
          <w:szCs w:val="24"/>
          <w:u w:val="single"/>
        </w:rPr>
      </w:pPr>
      <w:r w:rsidRPr="2E960BCE">
        <w:rPr>
          <w:rFonts w:ascii="Source Sans Pro" w:hAnsi="Source Sans Pro" w:eastAsia="Source Sans Pro" w:cs="Source Sans Pro"/>
          <w:szCs w:val="24"/>
          <w:u w:val="single"/>
        </w:rPr>
        <w:t>A</w:t>
      </w:r>
      <w:r w:rsidRPr="2E960BCE" w:rsidR="00EE0EA4">
        <w:rPr>
          <w:rFonts w:ascii="Source Sans Pro" w:hAnsi="Source Sans Pro" w:eastAsia="Source Sans Pro" w:cs="Source Sans Pro"/>
          <w:szCs w:val="24"/>
          <w:u w:val="single"/>
        </w:rPr>
        <w:t xml:space="preserve">ssess </w:t>
      </w:r>
      <w:r w:rsidRPr="2E960BCE" w:rsidR="43C206B2">
        <w:rPr>
          <w:rStyle w:val="Heading2Char"/>
          <w:rFonts w:ascii="Source Sans Pro" w:hAnsi="Source Sans Pro" w:eastAsia="Source Sans Pro" w:cs="Source Sans Pro"/>
          <w:b/>
          <w:bCs/>
          <w:szCs w:val="24"/>
          <w:u w:val="single"/>
        </w:rPr>
        <w:t>C</w:t>
      </w:r>
      <w:r w:rsidRPr="2E960BCE" w:rsidR="20E402E7">
        <w:rPr>
          <w:rStyle w:val="Heading2Char"/>
          <w:rFonts w:ascii="Source Sans Pro" w:hAnsi="Source Sans Pro" w:eastAsia="Source Sans Pro" w:cs="Source Sans Pro"/>
          <w:b/>
          <w:bCs/>
          <w:szCs w:val="24"/>
          <w:u w:val="single"/>
        </w:rPr>
        <w:t>andidate</w:t>
      </w:r>
      <w:r w:rsidRPr="2E960BCE" w:rsidR="102EE6F1">
        <w:rPr>
          <w:rStyle w:val="Heading2Char"/>
          <w:rFonts w:ascii="Source Sans Pro" w:hAnsi="Source Sans Pro" w:eastAsia="Source Sans Pro" w:cs="Source Sans Pro"/>
          <w:b/>
          <w:bCs/>
          <w:szCs w:val="24"/>
          <w:u w:val="single"/>
        </w:rPr>
        <w:t>’s</w:t>
      </w:r>
      <w:r w:rsidRPr="2E960BCE" w:rsidR="102EE6F1">
        <w:rPr>
          <w:rFonts w:ascii="Source Sans Pro" w:hAnsi="Source Sans Pro" w:eastAsia="Source Sans Pro" w:cs="Source Sans Pro"/>
          <w:szCs w:val="24"/>
          <w:u w:val="single"/>
        </w:rPr>
        <w:t xml:space="preserve"> </w:t>
      </w:r>
      <w:r w:rsidRPr="2E960BCE" w:rsidR="243973CB">
        <w:rPr>
          <w:rFonts w:ascii="Source Sans Pro" w:hAnsi="Source Sans Pro" w:eastAsia="Source Sans Pro" w:cs="Source Sans Pro"/>
          <w:szCs w:val="24"/>
          <w:u w:val="single"/>
        </w:rPr>
        <w:t>C</w:t>
      </w:r>
      <w:r w:rsidRPr="2E960BCE" w:rsidR="000D08CA">
        <w:rPr>
          <w:rFonts w:ascii="Source Sans Pro" w:hAnsi="Source Sans Pro" w:eastAsia="Source Sans Pro" w:cs="Source Sans Pro"/>
          <w:szCs w:val="24"/>
          <w:u w:val="single"/>
        </w:rPr>
        <w:t>ontributions to DEI</w:t>
      </w:r>
    </w:p>
    <w:p w:rsidRPr="005D781D" w:rsidR="009239CA" w:rsidP="2E960BCE" w:rsidRDefault="005D781D" w14:paraId="013FF7FE" w14:textId="5E897BF8">
      <w:pPr>
        <w:spacing w:after="24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Contributions in teaching, research, and service that demonstrably promote diversity</w:t>
      </w:r>
      <w:r w:rsidRPr="2E960BCE" w:rsidR="28C7990D">
        <w:rPr>
          <w:rFonts w:ascii="Source Sans Pro" w:hAnsi="Source Sans Pro" w:eastAsia="Source Sans Pro" w:cs="Source Sans Pro"/>
          <w:color w:val="0070C0"/>
          <w:sz w:val="24"/>
          <w:szCs w:val="24"/>
        </w:rPr>
        <w:t xml:space="preserve"> </w:t>
      </w:r>
      <w:r w:rsidRPr="2E960BCE">
        <w:rPr>
          <w:rFonts w:ascii="Source Sans Pro" w:hAnsi="Source Sans Pro" w:eastAsia="Source Sans Pro" w:cs="Source Sans Pro"/>
          <w:color w:val="0070C0"/>
          <w:sz w:val="24"/>
          <w:szCs w:val="24"/>
        </w:rPr>
        <w:t>equity, and inclusion.</w:t>
      </w:r>
    </w:p>
    <w:p w:rsidR="0042214C" w:rsidP="2E960BCE" w:rsidRDefault="0042214C" w14:paraId="091B4902" w14:textId="04EDEFDB">
      <w:pPr>
        <w:pStyle w:val="Heading2"/>
        <w:spacing w:after="120"/>
        <w:rPr>
          <w:rFonts w:ascii="Source Sans Pro" w:hAnsi="Source Sans Pro" w:eastAsia="Source Sans Pro" w:cs="Source Sans Pro"/>
          <w:i/>
          <w:iCs/>
          <w:szCs w:val="24"/>
          <w:u w:val="single"/>
        </w:rPr>
      </w:pPr>
      <w:r w:rsidRPr="2E960BCE">
        <w:rPr>
          <w:rFonts w:ascii="Source Sans Pro" w:hAnsi="Source Sans Pro" w:eastAsia="Source Sans Pro" w:cs="Source Sans Pro"/>
          <w:szCs w:val="24"/>
          <w:u w:val="single"/>
        </w:rPr>
        <w:t>Other Comments</w:t>
      </w:r>
    </w:p>
    <w:p w:rsidR="0042214C" w:rsidP="2E960BCE" w:rsidRDefault="00871851" w14:paraId="2212EB8D" w14:textId="7E4F4EAE">
      <w:pPr>
        <w:spacing w:after="240"/>
        <w:rPr>
          <w:rFonts w:ascii="Source Sans Pro" w:hAnsi="Source Sans Pro" w:eastAsia="Source Sans Pro" w:cs="Source Sans Pro"/>
          <w:color w:val="0070C0"/>
          <w:sz w:val="24"/>
          <w:szCs w:val="24"/>
        </w:rPr>
      </w:pPr>
      <w:r w:rsidRPr="2E960BCE">
        <w:rPr>
          <w:rFonts w:ascii="Source Sans Pro" w:hAnsi="Source Sans Pro" w:eastAsia="Source Sans Pro" w:cs="Source Sans Pro"/>
          <w:color w:val="0070C0"/>
          <w:sz w:val="24"/>
          <w:szCs w:val="24"/>
        </w:rPr>
        <w:t>The report should also address any matters not adequately addressed by the department committee report.</w:t>
      </w:r>
    </w:p>
    <w:p w:rsidR="000D08CA" w:rsidP="2E960BCE" w:rsidRDefault="000D08CA" w14:paraId="40682AD6" w14:textId="3A2B6CE7">
      <w:pPr>
        <w:pStyle w:val="Heading2"/>
        <w:rPr>
          <w:rFonts w:ascii="Source Sans Pro" w:hAnsi="Source Sans Pro" w:eastAsia="Source Sans Pro" w:cs="Source Sans Pro"/>
          <w:szCs w:val="24"/>
          <w:u w:val="single"/>
        </w:rPr>
      </w:pPr>
      <w:r w:rsidRPr="2E960BCE">
        <w:rPr>
          <w:rFonts w:ascii="Source Sans Pro" w:hAnsi="Source Sans Pro" w:eastAsia="Source Sans Pro" w:cs="Source Sans Pro"/>
          <w:szCs w:val="24"/>
          <w:u w:val="single"/>
        </w:rPr>
        <w:t>Conclusion and recommendation</w:t>
      </w:r>
    </w:p>
    <w:p w:rsidR="033A2959" w:rsidP="2E960BCE" w:rsidRDefault="033A2959" w14:paraId="5A02655B" w14:textId="3F0197B5">
      <w:pPr>
        <w:rPr>
          <w:rStyle w:val="markedcontent"/>
          <w:rFonts w:ascii="Source Sans Pro" w:hAnsi="Source Sans Pro" w:eastAsia="Source Sans Pro" w:cs="Source Sans Pro"/>
          <w:i/>
          <w:iCs/>
          <w:sz w:val="24"/>
          <w:szCs w:val="24"/>
        </w:rPr>
      </w:pPr>
    </w:p>
    <w:p w:rsidR="033A2959" w:rsidP="2E960BCE" w:rsidRDefault="033A2959" w14:paraId="7EAE4DEB" w14:textId="3D945DE2">
      <w:pPr>
        <w:rPr>
          <w:rStyle w:val="markedcontent"/>
          <w:rFonts w:ascii="Source Sans Pro" w:hAnsi="Source Sans Pro" w:eastAsia="Source Sans Pro" w:cs="Source Sans Pro"/>
          <w:i/>
          <w:iCs/>
          <w:sz w:val="24"/>
          <w:szCs w:val="24"/>
        </w:rPr>
      </w:pPr>
    </w:p>
    <w:p w:rsidR="033A2959" w:rsidP="2E960BCE" w:rsidRDefault="033A2959" w14:paraId="4913BB5E" w14:textId="2D820B14">
      <w:pPr>
        <w:rPr>
          <w:rStyle w:val="markedcontent"/>
          <w:rFonts w:ascii="Source Sans Pro" w:hAnsi="Source Sans Pro" w:eastAsia="Source Sans Pro" w:cs="Source Sans Pro"/>
          <w:i/>
          <w:iCs/>
          <w:sz w:val="24"/>
          <w:szCs w:val="24"/>
        </w:rPr>
      </w:pPr>
    </w:p>
    <w:p w:rsidRPr="009239CA" w:rsidR="009239CA" w:rsidP="2E960BCE" w:rsidRDefault="43078754" w14:paraId="2CF65B07" w14:textId="7202B561">
      <w:pPr>
        <w:rPr>
          <w:rStyle w:val="markedcontent"/>
          <w:rFonts w:ascii="Source Sans Pro" w:hAnsi="Source Sans Pro" w:eastAsia="Source Sans Pro" w:cs="Source Sans Pro"/>
          <w:color w:val="0070C0"/>
          <w:sz w:val="24"/>
          <w:szCs w:val="24"/>
        </w:rPr>
      </w:pPr>
      <w:r w:rsidRPr="2E960BCE">
        <w:rPr>
          <w:rStyle w:val="markedcontent"/>
          <w:rFonts w:ascii="Source Sans Pro" w:hAnsi="Source Sans Pro" w:eastAsia="Source Sans Pro" w:cs="Source Sans Pro"/>
          <w:color w:val="0070C0"/>
          <w:sz w:val="24"/>
          <w:szCs w:val="24"/>
        </w:rPr>
        <w:t>T</w:t>
      </w:r>
      <w:r w:rsidRPr="2E960BCE" w:rsidR="004C0FF0">
        <w:rPr>
          <w:rStyle w:val="markedcontent"/>
          <w:rFonts w:ascii="Source Sans Pro" w:hAnsi="Source Sans Pro" w:eastAsia="Source Sans Pro" w:cs="Source Sans Pro"/>
          <w:color w:val="0070C0"/>
          <w:sz w:val="24"/>
          <w:szCs w:val="24"/>
        </w:rPr>
        <w:t xml:space="preserve">he department head will provide the unit head’s report to the </w:t>
      </w:r>
      <w:r w:rsidRPr="2E960BCE" w:rsidR="2B76C5EE">
        <w:rPr>
          <w:rStyle w:val="markedcontent"/>
          <w:rFonts w:ascii="Source Sans Pro" w:hAnsi="Source Sans Pro" w:eastAsia="Source Sans Pro" w:cs="Source Sans Pro"/>
          <w:color w:val="0070C0"/>
          <w:sz w:val="24"/>
          <w:szCs w:val="24"/>
        </w:rPr>
        <w:t>candidate</w:t>
      </w:r>
      <w:r w:rsidRPr="2E960BCE" w:rsidR="004C0FF0">
        <w:rPr>
          <w:rStyle w:val="markedcontent"/>
          <w:rFonts w:ascii="Source Sans Pro" w:hAnsi="Source Sans Pro" w:eastAsia="Source Sans Pro" w:cs="Source Sans Pro"/>
          <w:color w:val="0070C0"/>
          <w:sz w:val="24"/>
          <w:szCs w:val="24"/>
        </w:rPr>
        <w:t xml:space="preserve"> and allow them 10</w:t>
      </w:r>
      <w:r w:rsidRPr="2E960BCE" w:rsidR="5E20F6BF">
        <w:rPr>
          <w:rStyle w:val="markedcontent"/>
          <w:rFonts w:ascii="Source Sans Pro" w:hAnsi="Source Sans Pro" w:eastAsia="Source Sans Pro" w:cs="Source Sans Pro"/>
          <w:color w:val="0070C0"/>
          <w:sz w:val="24"/>
          <w:szCs w:val="24"/>
        </w:rPr>
        <w:t xml:space="preserve"> business</w:t>
      </w:r>
      <w:r w:rsidRPr="2E960BCE" w:rsidR="004C0FF0">
        <w:rPr>
          <w:rStyle w:val="markedcontent"/>
          <w:rFonts w:ascii="Source Sans Pro" w:hAnsi="Source Sans Pro" w:eastAsia="Source Sans Pro" w:cs="Source Sans Pro"/>
          <w:color w:val="0070C0"/>
          <w:sz w:val="24"/>
          <w:szCs w:val="24"/>
        </w:rPr>
        <w:t xml:space="preserve"> days from the date of the receipt of the report to provide a written response, which shall be included in the file when it moves forward</w:t>
      </w:r>
      <w:r w:rsidRPr="2E960BCE" w:rsidR="7BD110FF">
        <w:rPr>
          <w:rStyle w:val="markedcontent"/>
          <w:rFonts w:ascii="Source Sans Pro" w:hAnsi="Source Sans Pro" w:eastAsia="Source Sans Pro" w:cs="Source Sans Pro"/>
          <w:color w:val="0070C0"/>
          <w:sz w:val="24"/>
          <w:szCs w:val="24"/>
        </w:rPr>
        <w:t xml:space="preserve">. </w:t>
      </w:r>
      <w:r w:rsidRPr="2E960BCE" w:rsidR="004C0FF0">
        <w:rPr>
          <w:rStyle w:val="markedcontent"/>
          <w:rFonts w:ascii="Source Sans Pro" w:hAnsi="Source Sans Pro" w:eastAsia="Source Sans Pro" w:cs="Source Sans Pro"/>
          <w:color w:val="0070C0"/>
          <w:sz w:val="24"/>
          <w:szCs w:val="24"/>
        </w:rPr>
        <w:t>If a unit has or develops a policy or practice of providing the report of the faculty committee to the faculty member, the unit head sh</w:t>
      </w:r>
      <w:r w:rsidRPr="2E960BCE" w:rsidR="5EA6E5B6">
        <w:rPr>
          <w:rStyle w:val="markedcontent"/>
          <w:rFonts w:ascii="Source Sans Pro" w:hAnsi="Source Sans Pro" w:eastAsia="Source Sans Pro" w:cs="Source Sans Pro"/>
          <w:color w:val="0070C0"/>
          <w:sz w:val="24"/>
          <w:szCs w:val="24"/>
        </w:rPr>
        <w:t>ould</w:t>
      </w:r>
      <w:r w:rsidRPr="2E960BCE" w:rsidR="004C0FF0">
        <w:rPr>
          <w:rStyle w:val="markedcontent"/>
          <w:rFonts w:ascii="Source Sans Pro" w:hAnsi="Source Sans Pro" w:eastAsia="Source Sans Pro" w:cs="Source Sans Pro"/>
          <w:color w:val="0070C0"/>
          <w:sz w:val="24"/>
          <w:szCs w:val="24"/>
        </w:rPr>
        <w:t xml:space="preserve"> do so.</w:t>
      </w:r>
    </w:p>
    <w:p w:rsidR="033A2959" w:rsidP="2E960BCE" w:rsidRDefault="033A2959" w14:paraId="5831DBFC" w14:textId="49130D50">
      <w:pPr>
        <w:rPr>
          <w:rStyle w:val="markedcontent"/>
          <w:rFonts w:ascii="Source Sans Pro" w:hAnsi="Source Sans Pro" w:eastAsia="Source Sans Pro" w:cs="Source Sans Pro"/>
          <w:i/>
          <w:iCs/>
          <w:sz w:val="24"/>
          <w:szCs w:val="24"/>
        </w:rPr>
      </w:pPr>
    </w:p>
    <w:p w:rsidRPr="00871851" w:rsidR="00871851" w:rsidP="2E960BCE" w:rsidRDefault="00871851" w14:paraId="2049EFBF" w14:textId="72065258">
      <w:pPr>
        <w:spacing w:after="0"/>
        <w:rPr>
          <w:rFonts w:ascii="Source Sans Pro" w:hAnsi="Source Sans Pro" w:eastAsia="Source Sans Pro" w:cs="Source Sans Pro"/>
          <w:sz w:val="24"/>
          <w:szCs w:val="24"/>
        </w:rPr>
      </w:pPr>
      <w:r w:rsidRPr="2E960BCE">
        <w:rPr>
          <w:rFonts w:ascii="Source Sans Pro" w:hAnsi="Source Sans Pro" w:eastAsia="Source Sans Pro" w:cs="Source Sans Pro"/>
          <w:sz w:val="24"/>
          <w:szCs w:val="24"/>
        </w:rPr>
        <w:t>_____________________________________</w:t>
      </w:r>
      <w:r>
        <w:tab/>
      </w:r>
      <w:r>
        <w:tab/>
      </w:r>
      <w:r>
        <w:tab/>
      </w:r>
      <w:r w:rsidRPr="2E960BCE">
        <w:rPr>
          <w:rFonts w:ascii="Source Sans Pro" w:hAnsi="Source Sans Pro" w:eastAsia="Source Sans Pro" w:cs="Source Sans Pro"/>
          <w:sz w:val="24"/>
          <w:szCs w:val="24"/>
        </w:rPr>
        <w:t>_____________</w:t>
      </w:r>
    </w:p>
    <w:p w:rsidR="004B2BF2" w:rsidP="033A2959" w:rsidRDefault="0894E8E6" w14:paraId="0B7249EC" w14:textId="3D8A6E81">
      <w:pPr>
        <w:spacing w:after="0"/>
        <w:rPr>
          <w:rFonts w:ascii="Melior" w:hAnsi="Melior" w:eastAsia="Melior" w:cs="Melior"/>
          <w:sz w:val="24"/>
          <w:szCs w:val="24"/>
        </w:rPr>
      </w:pPr>
      <w:r w:rsidRPr="2E960BCE">
        <w:rPr>
          <w:rFonts w:ascii="Source Sans Pro" w:hAnsi="Source Sans Pro" w:eastAsia="Source Sans Pro" w:cs="Source Sans Pro"/>
          <w:sz w:val="24"/>
          <w:szCs w:val="24"/>
        </w:rPr>
        <w:t>Unit/</w:t>
      </w:r>
      <w:r w:rsidRPr="2E960BCE" w:rsidR="0042214C">
        <w:rPr>
          <w:rFonts w:ascii="Source Sans Pro" w:hAnsi="Source Sans Pro" w:eastAsia="Source Sans Pro" w:cs="Source Sans Pro"/>
          <w:sz w:val="24"/>
          <w:szCs w:val="24"/>
        </w:rPr>
        <w:t xml:space="preserve">Department Head </w:t>
      </w:r>
      <w:r w:rsidRPr="2E960BCE" w:rsidR="00871851">
        <w:rPr>
          <w:rFonts w:ascii="Source Sans Pro" w:hAnsi="Source Sans Pro" w:eastAsia="Source Sans Pro" w:cs="Source Sans Pro"/>
          <w:sz w:val="24"/>
          <w:szCs w:val="24"/>
        </w:rPr>
        <w:t>Signature</w:t>
      </w:r>
      <w:r w:rsidR="0042214C">
        <w:tab/>
      </w:r>
      <w:r w:rsidR="0042214C">
        <w:tab/>
      </w:r>
      <w:r w:rsidR="0042214C">
        <w:tab/>
      </w:r>
      <w:r w:rsidR="0042214C">
        <w:tab/>
      </w:r>
      <w:r w:rsidR="0042214C">
        <w:tab/>
      </w:r>
      <w:r w:rsidRPr="2E960BCE" w:rsidR="00871851">
        <w:rPr>
          <w:rFonts w:ascii="Source Sans Pro" w:hAnsi="Source Sans Pro" w:eastAsia="Source Sans Pro" w:cs="Source Sans Pro"/>
          <w:sz w:val="24"/>
          <w:szCs w:val="24"/>
        </w:rPr>
        <w:t>Dat</w:t>
      </w:r>
      <w:r w:rsidRPr="2E960BCE" w:rsidR="00C16ED4">
        <w:rPr>
          <w:rFonts w:ascii="Source Sans Pro" w:hAnsi="Source Sans Pro" w:eastAsia="Source Sans Pro" w:cs="Source Sans Pro"/>
          <w:sz w:val="24"/>
          <w:szCs w:val="24"/>
        </w:rPr>
        <w:t>e</w:t>
      </w:r>
    </w:p>
    <w:sectPr w:rsidR="004B2BF2" w:rsidSect="00BC3D91">
      <w:headerReference w:type="default" r:id="rId11"/>
      <w:footerReference w:type="default" r:id="rId12"/>
      <w:headerReference w:type="first" r:id="rId13"/>
      <w:footerReference w:type="first" r:id="rId14"/>
      <w:pgSz w:w="12240" w:h="15840" w:orient="portrait"/>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797F" w:rsidP="007941AE" w:rsidRDefault="00E8797F" w14:paraId="77B88D53" w14:textId="77777777">
      <w:pPr>
        <w:spacing w:after="0" w:line="240" w:lineRule="auto"/>
      </w:pPr>
      <w:r>
        <w:separator/>
      </w:r>
    </w:p>
  </w:endnote>
  <w:endnote w:type="continuationSeparator" w:id="0">
    <w:p w:rsidR="00E8797F" w:rsidP="007941AE" w:rsidRDefault="00E8797F" w14:paraId="2C0F04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Melior">
    <w:panose1 w:val="02000603020000020003"/>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41AE" w:rsidRDefault="007941AE" w14:paraId="79BBBFC9" w14:textId="2B76B6C2">
    <w:pPr>
      <w:pStyle w:val="Footer"/>
      <w:jc w:val="right"/>
    </w:pPr>
  </w:p>
  <w:p w:rsidR="007941AE" w:rsidRDefault="007941AE" w14:paraId="5C3EA4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54AA4AA2" w:rsidTr="54AA4AA2" w14:paraId="267DF4A9" w14:textId="77777777">
      <w:trPr>
        <w:trHeight w:val="300"/>
      </w:trPr>
      <w:tc>
        <w:tcPr>
          <w:tcW w:w="3360" w:type="dxa"/>
        </w:tcPr>
        <w:p w:rsidR="54AA4AA2" w:rsidP="54AA4AA2" w:rsidRDefault="54AA4AA2" w14:paraId="48C8E208" w14:textId="7166913F">
          <w:pPr>
            <w:pStyle w:val="Header"/>
            <w:ind w:left="-115"/>
          </w:pPr>
        </w:p>
      </w:tc>
      <w:tc>
        <w:tcPr>
          <w:tcW w:w="3360" w:type="dxa"/>
        </w:tcPr>
        <w:p w:rsidR="54AA4AA2" w:rsidP="54AA4AA2" w:rsidRDefault="54AA4AA2" w14:paraId="4637C102" w14:textId="57E3D14F">
          <w:pPr>
            <w:pStyle w:val="Header"/>
            <w:jc w:val="center"/>
          </w:pPr>
        </w:p>
      </w:tc>
      <w:tc>
        <w:tcPr>
          <w:tcW w:w="3360" w:type="dxa"/>
        </w:tcPr>
        <w:p w:rsidR="54AA4AA2" w:rsidP="54AA4AA2" w:rsidRDefault="54AA4AA2" w14:paraId="182B145D" w14:textId="5C51E54B">
          <w:pPr>
            <w:pStyle w:val="Header"/>
            <w:ind w:right="-115"/>
            <w:jc w:val="right"/>
          </w:pPr>
        </w:p>
      </w:tc>
    </w:tr>
  </w:tbl>
  <w:p w:rsidR="005F2772" w:rsidP="54AA4AA2" w:rsidRDefault="005F2772" w14:paraId="55A07F90" w14:textId="23F0D1D0">
    <w:pPr>
      <w:pStyle w:val="Footer"/>
    </w:pPr>
    <w:r>
      <w:t>Updated 1/13/2025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797F" w:rsidP="007941AE" w:rsidRDefault="00E8797F" w14:paraId="5E872ACD" w14:textId="77777777">
      <w:pPr>
        <w:spacing w:after="0" w:line="240" w:lineRule="auto"/>
      </w:pPr>
      <w:r>
        <w:separator/>
      </w:r>
    </w:p>
  </w:footnote>
  <w:footnote w:type="continuationSeparator" w:id="0">
    <w:p w:rsidR="00E8797F" w:rsidP="007941AE" w:rsidRDefault="00E8797F" w14:paraId="4E721C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941AE" w:rsidR="00BC3D91" w:rsidP="00BC3D91" w:rsidRDefault="00BC3D91" w14:paraId="0F60BAB0" w14:textId="63E82027">
    <w:pPr>
      <w:rPr>
        <w:rFonts w:cstheme="minorHAnsi"/>
        <w:b/>
        <w:bCs/>
        <w:u w:val="single"/>
      </w:rPr>
    </w:pPr>
  </w:p>
  <w:p w:rsidR="00BC3D91" w:rsidRDefault="00BC3D91" w14:paraId="7E52AE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2772" w:rsidP="005F2772" w:rsidRDefault="005F2772" w14:paraId="3C1B2976" w14:textId="1CA8316A">
    <w:pPr>
      <w:pStyle w:val="Header"/>
      <w:jc w:val="right"/>
    </w:pPr>
    <w:r w:rsidR="5AA5FF55">
      <w:rPr/>
      <w:t>U</w:t>
    </w:r>
    <w:r w:rsidR="5AA5FF55">
      <w:rPr/>
      <w:t>H/DH</w:t>
    </w:r>
    <w:r w:rsidR="5AA5FF55">
      <w:rPr/>
      <w:t xml:space="preserve"> Report Guidance &amp; Template for 6PTR </w:t>
    </w:r>
    <w:sdt>
      <w:sdtPr>
        <w:id w:val="-446314947"/>
        <w:docPartObj>
          <w:docPartGallery w:val="Page Numbers (Top of Page)"/>
          <w:docPartUnique/>
        </w:docPartObj>
      </w:sdtPr>
      <w:sdtContent>
        <w:r w:rsidRPr="5AA5FF55">
          <w:rPr>
            <w:noProof/>
          </w:rPr>
          <w:fldChar w:fldCharType="begin"/>
        </w:r>
        <w:r>
          <w:instrText xml:space="preserve"> PAGE   \* MERGEFORMAT </w:instrText>
        </w:r>
        <w:r>
          <w:fldChar w:fldCharType="separate"/>
        </w:r>
        <w:r w:rsidRPr="5AA5FF55" w:rsidR="5AA5FF55">
          <w:rPr>
            <w:noProof/>
          </w:rPr>
          <w:t>2</w:t>
        </w:r>
        <w:r w:rsidRPr="5AA5FF55">
          <w:rPr>
            <w:noProof/>
          </w:rPr>
          <w:fldChar w:fldCharType="end"/>
        </w:r>
      </w:sdtContent>
      <w:sdtEndPr>
        <w:rPr>
          <w:noProof/>
        </w:rPr>
      </w:sdtEndPr>
    </w:sdt>
  </w:p>
  <w:p w:rsidRPr="009239CA" w:rsidR="00BC3D91" w:rsidP="54AA4AA2" w:rsidRDefault="00BC3D91" w14:paraId="77CE541D" w14:textId="3C39B9D0">
    <w:pPr>
      <w:pStyle w:val="Header"/>
      <w:rPr>
        <w:b/>
        <w:bCs/>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2A78"/>
    <w:multiLevelType w:val="hybridMultilevel"/>
    <w:tmpl w:val="FB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D2E"/>
    <w:multiLevelType w:val="hybridMultilevel"/>
    <w:tmpl w:val="EA20791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8D17B20"/>
    <w:multiLevelType w:val="hybridMultilevel"/>
    <w:tmpl w:val="ADECCB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71B54"/>
    <w:multiLevelType w:val="hybridMultilevel"/>
    <w:tmpl w:val="1A7A36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48494A"/>
    <w:multiLevelType w:val="hybridMultilevel"/>
    <w:tmpl w:val="DA802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9AB5DA0"/>
    <w:multiLevelType w:val="hybridMultilevel"/>
    <w:tmpl w:val="63EA980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05759"/>
    <w:multiLevelType w:val="hybridMultilevel"/>
    <w:tmpl w:val="7BA85FB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14E6C1B"/>
    <w:multiLevelType w:val="hybridMultilevel"/>
    <w:tmpl w:val="373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B25CD"/>
    <w:multiLevelType w:val="hybridMultilevel"/>
    <w:tmpl w:val="3232332C"/>
    <w:lvl w:ilvl="0" w:tplc="18EC80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25DC3297"/>
    <w:multiLevelType w:val="hybridMultilevel"/>
    <w:tmpl w:val="3276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D7D80"/>
    <w:multiLevelType w:val="hybridMultilevel"/>
    <w:tmpl w:val="9F74A0E4"/>
    <w:lvl w:ilvl="0" w:tplc="06AA03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AA1D7B"/>
    <w:multiLevelType w:val="multilevel"/>
    <w:tmpl w:val="5F7A3D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ABB4837"/>
    <w:multiLevelType w:val="hybridMultilevel"/>
    <w:tmpl w:val="41968488"/>
    <w:lvl w:ilvl="0" w:tplc="36D28262">
      <w:start w:val="1"/>
      <w:numFmt w:val="bullet"/>
      <w:lvlText w:val="o"/>
      <w:lvlJc w:val="left"/>
      <w:pPr>
        <w:ind w:left="1080" w:hanging="360"/>
      </w:pPr>
      <w:rPr>
        <w:rFonts w:hint="default" w:ascii="Courier New" w:hAnsi="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3AEB05C4"/>
    <w:multiLevelType w:val="hybridMultilevel"/>
    <w:tmpl w:val="D3B8C762"/>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82AF0"/>
    <w:multiLevelType w:val="hybridMultilevel"/>
    <w:tmpl w:val="E3D895E4"/>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202EB"/>
    <w:multiLevelType w:val="hybridMultilevel"/>
    <w:tmpl w:val="9DFAE86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3EAE57C5"/>
    <w:multiLevelType w:val="hybridMultilevel"/>
    <w:tmpl w:val="B504E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D5897"/>
    <w:multiLevelType w:val="hybridMultilevel"/>
    <w:tmpl w:val="D77E82DA"/>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8" w15:restartNumberingAfterBreak="0">
    <w:nsid w:val="47DD25DB"/>
    <w:multiLevelType w:val="hybridMultilevel"/>
    <w:tmpl w:val="9286AAD8"/>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8567A"/>
    <w:multiLevelType w:val="hybridMultilevel"/>
    <w:tmpl w:val="97FADC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B9407B"/>
    <w:multiLevelType w:val="hybridMultilevel"/>
    <w:tmpl w:val="6212B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3688E"/>
    <w:multiLevelType w:val="hybridMultilevel"/>
    <w:tmpl w:val="D68E80CE"/>
    <w:lvl w:ilvl="0" w:tplc="73502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4F45A"/>
    <w:multiLevelType w:val="hybridMultilevel"/>
    <w:tmpl w:val="775A5D42"/>
    <w:lvl w:ilvl="0" w:tplc="2394687A">
      <w:start w:val="1"/>
      <w:numFmt w:val="lowerLetter"/>
      <w:lvlText w:val="%1)"/>
      <w:lvlJc w:val="left"/>
      <w:pPr>
        <w:ind w:left="720" w:hanging="360"/>
      </w:pPr>
    </w:lvl>
    <w:lvl w:ilvl="1" w:tplc="83C45810">
      <w:start w:val="1"/>
      <w:numFmt w:val="lowerLetter"/>
      <w:lvlText w:val="%2."/>
      <w:lvlJc w:val="left"/>
      <w:pPr>
        <w:ind w:left="1440" w:hanging="360"/>
      </w:pPr>
    </w:lvl>
    <w:lvl w:ilvl="2" w:tplc="C2F4AA98">
      <w:start w:val="1"/>
      <w:numFmt w:val="lowerRoman"/>
      <w:lvlText w:val="%3."/>
      <w:lvlJc w:val="right"/>
      <w:pPr>
        <w:ind w:left="2160" w:hanging="180"/>
      </w:pPr>
    </w:lvl>
    <w:lvl w:ilvl="3" w:tplc="2046909E">
      <w:start w:val="1"/>
      <w:numFmt w:val="decimal"/>
      <w:lvlText w:val="%4."/>
      <w:lvlJc w:val="left"/>
      <w:pPr>
        <w:ind w:left="2880" w:hanging="360"/>
      </w:pPr>
    </w:lvl>
    <w:lvl w:ilvl="4" w:tplc="645A3368">
      <w:start w:val="1"/>
      <w:numFmt w:val="lowerLetter"/>
      <w:lvlText w:val="%5."/>
      <w:lvlJc w:val="left"/>
      <w:pPr>
        <w:ind w:left="3600" w:hanging="360"/>
      </w:pPr>
    </w:lvl>
    <w:lvl w:ilvl="5" w:tplc="89645D56">
      <w:start w:val="1"/>
      <w:numFmt w:val="lowerRoman"/>
      <w:lvlText w:val="%6."/>
      <w:lvlJc w:val="right"/>
      <w:pPr>
        <w:ind w:left="4320" w:hanging="180"/>
      </w:pPr>
    </w:lvl>
    <w:lvl w:ilvl="6" w:tplc="0C9E84D8">
      <w:start w:val="1"/>
      <w:numFmt w:val="decimal"/>
      <w:lvlText w:val="%7."/>
      <w:lvlJc w:val="left"/>
      <w:pPr>
        <w:ind w:left="5040" w:hanging="360"/>
      </w:pPr>
    </w:lvl>
    <w:lvl w:ilvl="7" w:tplc="D0DAB870">
      <w:start w:val="1"/>
      <w:numFmt w:val="lowerLetter"/>
      <w:lvlText w:val="%8."/>
      <w:lvlJc w:val="left"/>
      <w:pPr>
        <w:ind w:left="5760" w:hanging="360"/>
      </w:pPr>
    </w:lvl>
    <w:lvl w:ilvl="8" w:tplc="2B78F0E0">
      <w:start w:val="1"/>
      <w:numFmt w:val="lowerRoman"/>
      <w:lvlText w:val="%9."/>
      <w:lvlJc w:val="right"/>
      <w:pPr>
        <w:ind w:left="6480" w:hanging="180"/>
      </w:pPr>
    </w:lvl>
  </w:abstractNum>
  <w:abstractNum w:abstractNumId="23" w15:restartNumberingAfterBreak="0">
    <w:nsid w:val="5B132C1E"/>
    <w:multiLevelType w:val="hybridMultilevel"/>
    <w:tmpl w:val="6C5EE8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D6550"/>
    <w:multiLevelType w:val="hybridMultilevel"/>
    <w:tmpl w:val="21FAE3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72697153"/>
    <w:multiLevelType w:val="hybridMultilevel"/>
    <w:tmpl w:val="85906158"/>
    <w:lvl w:ilvl="0" w:tplc="75501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547051"/>
    <w:multiLevelType w:val="hybridMultilevel"/>
    <w:tmpl w:val="A32A1E9A"/>
    <w:lvl w:ilvl="0" w:tplc="5CEE7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451F76"/>
    <w:multiLevelType w:val="hybridMultilevel"/>
    <w:tmpl w:val="BD668FE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6A7E31"/>
    <w:multiLevelType w:val="hybridMultilevel"/>
    <w:tmpl w:val="E8361F4E"/>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311596">
    <w:abstractNumId w:val="22"/>
  </w:num>
  <w:num w:numId="2" w16cid:durableId="567351454">
    <w:abstractNumId w:val="4"/>
  </w:num>
  <w:num w:numId="3" w16cid:durableId="1900628943">
    <w:abstractNumId w:val="24"/>
  </w:num>
  <w:num w:numId="4" w16cid:durableId="522861043">
    <w:abstractNumId w:val="15"/>
  </w:num>
  <w:num w:numId="5" w16cid:durableId="1239898518">
    <w:abstractNumId w:val="1"/>
  </w:num>
  <w:num w:numId="6" w16cid:durableId="860977839">
    <w:abstractNumId w:val="6"/>
  </w:num>
  <w:num w:numId="7" w16cid:durableId="1897931471">
    <w:abstractNumId w:val="17"/>
  </w:num>
  <w:num w:numId="8" w16cid:durableId="344064872">
    <w:abstractNumId w:val="12"/>
  </w:num>
  <w:num w:numId="9" w16cid:durableId="1321275678">
    <w:abstractNumId w:val="11"/>
  </w:num>
  <w:num w:numId="10" w16cid:durableId="225385252">
    <w:abstractNumId w:val="21"/>
  </w:num>
  <w:num w:numId="11" w16cid:durableId="2018916962">
    <w:abstractNumId w:val="9"/>
  </w:num>
  <w:num w:numId="12" w16cid:durableId="268975571">
    <w:abstractNumId w:val="7"/>
  </w:num>
  <w:num w:numId="13" w16cid:durableId="2082369477">
    <w:abstractNumId w:val="0"/>
  </w:num>
  <w:num w:numId="14" w16cid:durableId="891231213">
    <w:abstractNumId w:val="3"/>
  </w:num>
  <w:num w:numId="15" w16cid:durableId="1984844375">
    <w:abstractNumId w:val="5"/>
  </w:num>
  <w:num w:numId="16" w16cid:durableId="1565213293">
    <w:abstractNumId w:val="8"/>
  </w:num>
  <w:num w:numId="17" w16cid:durableId="560949573">
    <w:abstractNumId w:val="14"/>
  </w:num>
  <w:num w:numId="18" w16cid:durableId="1868979337">
    <w:abstractNumId w:val="18"/>
  </w:num>
  <w:num w:numId="19" w16cid:durableId="1103039753">
    <w:abstractNumId w:val="13"/>
  </w:num>
  <w:num w:numId="20" w16cid:durableId="1569614944">
    <w:abstractNumId w:val="27"/>
  </w:num>
  <w:num w:numId="21" w16cid:durableId="1655715923">
    <w:abstractNumId w:val="28"/>
  </w:num>
  <w:num w:numId="22" w16cid:durableId="1821579430">
    <w:abstractNumId w:val="23"/>
  </w:num>
  <w:num w:numId="23" w16cid:durableId="1959407473">
    <w:abstractNumId w:val="19"/>
  </w:num>
  <w:num w:numId="24" w16cid:durableId="1080370973">
    <w:abstractNumId w:val="26"/>
  </w:num>
  <w:num w:numId="25" w16cid:durableId="983853070">
    <w:abstractNumId w:val="20"/>
  </w:num>
  <w:num w:numId="26" w16cid:durableId="408774947">
    <w:abstractNumId w:val="25"/>
  </w:num>
  <w:num w:numId="27" w16cid:durableId="677779868">
    <w:abstractNumId w:val="16"/>
  </w:num>
  <w:num w:numId="28" w16cid:durableId="999575588">
    <w:abstractNumId w:val="2"/>
  </w:num>
  <w:num w:numId="29" w16cid:durableId="6956179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97"/>
    <w:rsid w:val="00075061"/>
    <w:rsid w:val="000C327C"/>
    <w:rsid w:val="000D08CA"/>
    <w:rsid w:val="000F5E9A"/>
    <w:rsid w:val="00150E6C"/>
    <w:rsid w:val="001E6A9B"/>
    <w:rsid w:val="002E01B2"/>
    <w:rsid w:val="002F0794"/>
    <w:rsid w:val="003B1B5D"/>
    <w:rsid w:val="0042214C"/>
    <w:rsid w:val="004A305C"/>
    <w:rsid w:val="004B2BF2"/>
    <w:rsid w:val="004B7E0F"/>
    <w:rsid w:val="004C0FF0"/>
    <w:rsid w:val="00505D63"/>
    <w:rsid w:val="005C7EF3"/>
    <w:rsid w:val="005D781D"/>
    <w:rsid w:val="005F2772"/>
    <w:rsid w:val="007941AE"/>
    <w:rsid w:val="00871851"/>
    <w:rsid w:val="008A61A2"/>
    <w:rsid w:val="0091353B"/>
    <w:rsid w:val="009239CA"/>
    <w:rsid w:val="009555D8"/>
    <w:rsid w:val="009979F7"/>
    <w:rsid w:val="00A05286"/>
    <w:rsid w:val="00A43B97"/>
    <w:rsid w:val="00AC2537"/>
    <w:rsid w:val="00B763BA"/>
    <w:rsid w:val="00B86A6E"/>
    <w:rsid w:val="00B91D7D"/>
    <w:rsid w:val="00BC3D91"/>
    <w:rsid w:val="00C16ED4"/>
    <w:rsid w:val="00CD5BDA"/>
    <w:rsid w:val="00D138BD"/>
    <w:rsid w:val="00E8797F"/>
    <w:rsid w:val="00E932CA"/>
    <w:rsid w:val="00E94FA9"/>
    <w:rsid w:val="00EA06DD"/>
    <w:rsid w:val="00EE0EA4"/>
    <w:rsid w:val="00FB16E5"/>
    <w:rsid w:val="0118CDC6"/>
    <w:rsid w:val="012CC44B"/>
    <w:rsid w:val="033A2959"/>
    <w:rsid w:val="0349A3CF"/>
    <w:rsid w:val="04BB13FA"/>
    <w:rsid w:val="04E7AAB5"/>
    <w:rsid w:val="0550CC95"/>
    <w:rsid w:val="067B5CBB"/>
    <w:rsid w:val="0894E8E6"/>
    <w:rsid w:val="0A4B53A7"/>
    <w:rsid w:val="0C55A1DA"/>
    <w:rsid w:val="0DD91E48"/>
    <w:rsid w:val="0EC71DB4"/>
    <w:rsid w:val="0EC9F4C3"/>
    <w:rsid w:val="102EE6F1"/>
    <w:rsid w:val="12B6662D"/>
    <w:rsid w:val="142EF2DF"/>
    <w:rsid w:val="1528FA5C"/>
    <w:rsid w:val="15C8AACD"/>
    <w:rsid w:val="161FDFB6"/>
    <w:rsid w:val="1653DFA4"/>
    <w:rsid w:val="16FA4E30"/>
    <w:rsid w:val="178D8A00"/>
    <w:rsid w:val="17EFB005"/>
    <w:rsid w:val="17F50FBB"/>
    <w:rsid w:val="18609B1E"/>
    <w:rsid w:val="19181EE9"/>
    <w:rsid w:val="19B7F287"/>
    <w:rsid w:val="1AB3EF4A"/>
    <w:rsid w:val="1B61625F"/>
    <w:rsid w:val="1B85095F"/>
    <w:rsid w:val="1C63B5D2"/>
    <w:rsid w:val="1EEC37B8"/>
    <w:rsid w:val="20E402E7"/>
    <w:rsid w:val="21B54567"/>
    <w:rsid w:val="22B4657F"/>
    <w:rsid w:val="243973CB"/>
    <w:rsid w:val="263326C0"/>
    <w:rsid w:val="26D68758"/>
    <w:rsid w:val="26F7499D"/>
    <w:rsid w:val="286D0CE8"/>
    <w:rsid w:val="289319FE"/>
    <w:rsid w:val="28C7990D"/>
    <w:rsid w:val="2A1714C5"/>
    <w:rsid w:val="2B76C5EE"/>
    <w:rsid w:val="2BFD357B"/>
    <w:rsid w:val="2E960BCE"/>
    <w:rsid w:val="2EB77CE1"/>
    <w:rsid w:val="2F8CF14E"/>
    <w:rsid w:val="305728FF"/>
    <w:rsid w:val="30781ECD"/>
    <w:rsid w:val="30B19C61"/>
    <w:rsid w:val="3191EED6"/>
    <w:rsid w:val="32AACDAE"/>
    <w:rsid w:val="33283908"/>
    <w:rsid w:val="33EC9141"/>
    <w:rsid w:val="340F5FCD"/>
    <w:rsid w:val="34276D2B"/>
    <w:rsid w:val="34D31C00"/>
    <w:rsid w:val="37917321"/>
    <w:rsid w:val="38E9ECD3"/>
    <w:rsid w:val="3945C7B8"/>
    <w:rsid w:val="3BECCD19"/>
    <w:rsid w:val="3C2F1ED5"/>
    <w:rsid w:val="3FCD0CCC"/>
    <w:rsid w:val="3FD4F17C"/>
    <w:rsid w:val="409F250D"/>
    <w:rsid w:val="40C487C9"/>
    <w:rsid w:val="41E62213"/>
    <w:rsid w:val="4232007E"/>
    <w:rsid w:val="43078754"/>
    <w:rsid w:val="433A6B1C"/>
    <w:rsid w:val="43C206B2"/>
    <w:rsid w:val="442474AB"/>
    <w:rsid w:val="4710EE7A"/>
    <w:rsid w:val="4728107A"/>
    <w:rsid w:val="47B1002B"/>
    <w:rsid w:val="4833CFD0"/>
    <w:rsid w:val="4A3D1263"/>
    <w:rsid w:val="4ABD8955"/>
    <w:rsid w:val="4BD8E2C4"/>
    <w:rsid w:val="4C72716F"/>
    <w:rsid w:val="4CBAFC04"/>
    <w:rsid w:val="4E4007E6"/>
    <w:rsid w:val="4E755AD1"/>
    <w:rsid w:val="4EADE6D7"/>
    <w:rsid w:val="50A86BAA"/>
    <w:rsid w:val="50BF0412"/>
    <w:rsid w:val="5206B797"/>
    <w:rsid w:val="5348CBF4"/>
    <w:rsid w:val="54AA4AA2"/>
    <w:rsid w:val="55113530"/>
    <w:rsid w:val="57BA605B"/>
    <w:rsid w:val="57F63001"/>
    <w:rsid w:val="5848D5F2"/>
    <w:rsid w:val="586D4DFB"/>
    <w:rsid w:val="58D9F083"/>
    <w:rsid w:val="59920062"/>
    <w:rsid w:val="59E4A653"/>
    <w:rsid w:val="5A037C88"/>
    <w:rsid w:val="5A91C927"/>
    <w:rsid w:val="5AA5FF55"/>
    <w:rsid w:val="5B0D346D"/>
    <w:rsid w:val="5B41AABC"/>
    <w:rsid w:val="5CC9A124"/>
    <w:rsid w:val="5D0984F4"/>
    <w:rsid w:val="5E20F6BF"/>
    <w:rsid w:val="5E5C0329"/>
    <w:rsid w:val="5EA6E5B6"/>
    <w:rsid w:val="60245385"/>
    <w:rsid w:val="60F752FA"/>
    <w:rsid w:val="6106ACD4"/>
    <w:rsid w:val="611F3B35"/>
    <w:rsid w:val="61E7E799"/>
    <w:rsid w:val="63B9E9B5"/>
    <w:rsid w:val="64398A54"/>
    <w:rsid w:val="64C522F2"/>
    <w:rsid w:val="666B4A58"/>
    <w:rsid w:val="6836B2FA"/>
    <w:rsid w:val="68D77804"/>
    <w:rsid w:val="692D53FC"/>
    <w:rsid w:val="6AB9B592"/>
    <w:rsid w:val="6BA451BD"/>
    <w:rsid w:val="6C0A5317"/>
    <w:rsid w:val="6CBF13BA"/>
    <w:rsid w:val="6DFFCA6B"/>
    <w:rsid w:val="6E94C12A"/>
    <w:rsid w:val="6F8B2919"/>
    <w:rsid w:val="6F9113FF"/>
    <w:rsid w:val="6FA8D5D6"/>
    <w:rsid w:val="713D2690"/>
    <w:rsid w:val="7208D8C5"/>
    <w:rsid w:val="729896B1"/>
    <w:rsid w:val="743622F9"/>
    <w:rsid w:val="759F92BC"/>
    <w:rsid w:val="77E6E0BE"/>
    <w:rsid w:val="782A847C"/>
    <w:rsid w:val="7853FD6B"/>
    <w:rsid w:val="7A1D7C25"/>
    <w:rsid w:val="7A2C008F"/>
    <w:rsid w:val="7A2CD7CD"/>
    <w:rsid w:val="7BD110FF"/>
    <w:rsid w:val="7CDCEB2B"/>
    <w:rsid w:val="7DB0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A138"/>
  <w15:chartTrackingRefBased/>
  <w15:docId w15:val="{BBD202B9-6EC5-4FEB-8672-7107033A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239CA"/>
    <w:pPr>
      <w:keepNext/>
      <w:keepLines/>
      <w:spacing w:before="240" w:after="0"/>
      <w:outlineLvl w:val="0"/>
    </w:pPr>
    <w:rPr>
      <w:rFonts w:asciiTheme="majorHAnsi" w:hAnsiTheme="majorHAnsi" w:eastAsiaTheme="majorEastAsia"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9239CA"/>
    <w:pPr>
      <w:keepNext/>
      <w:keepLines/>
      <w:spacing w:before="40" w:after="0"/>
      <w:outlineLvl w:val="1"/>
    </w:pPr>
    <w:rPr>
      <w:rFonts w:asciiTheme="majorHAnsi" w:hAnsiTheme="majorHAnsi" w:eastAsiaTheme="majorEastAsia" w:cstheme="majorBidi"/>
      <w:b/>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arkedcontent" w:customStyle="1">
    <w:name w:val="markedcontent"/>
    <w:basedOn w:val="DefaultParagraphFont"/>
    <w:rsid w:val="00A43B97"/>
  </w:style>
  <w:style w:type="paragraph" w:styleId="ListParagraph">
    <w:name w:val="List Paragraph"/>
    <w:basedOn w:val="Normal"/>
    <w:uiPriority w:val="34"/>
    <w:qFormat/>
    <w:rsid w:val="00A43B97"/>
    <w:pPr>
      <w:ind w:left="720"/>
      <w:contextualSpacing/>
    </w:pPr>
  </w:style>
  <w:style w:type="character" w:styleId="Hyperlink">
    <w:name w:val="Hyperlink"/>
    <w:basedOn w:val="DefaultParagraphFont"/>
    <w:uiPriority w:val="99"/>
    <w:unhideWhenUsed/>
    <w:rsid w:val="000C327C"/>
    <w:rPr>
      <w:color w:val="0563C1" w:themeColor="hyperlink"/>
      <w:u w:val="single"/>
    </w:rPr>
  </w:style>
  <w:style w:type="character" w:styleId="UnresolvedMention">
    <w:name w:val="Unresolved Mention"/>
    <w:basedOn w:val="DefaultParagraphFont"/>
    <w:uiPriority w:val="99"/>
    <w:semiHidden/>
    <w:unhideWhenUsed/>
    <w:rsid w:val="000C327C"/>
    <w:rPr>
      <w:color w:val="605E5C"/>
      <w:shd w:val="clear" w:color="auto" w:fill="E1DFDD"/>
    </w:rPr>
  </w:style>
  <w:style w:type="paragraph" w:styleId="NormalWeb">
    <w:name w:val="Normal (Web)"/>
    <w:basedOn w:val="Normal"/>
    <w:uiPriority w:val="99"/>
    <w:unhideWhenUsed/>
    <w:rsid w:val="003B1B5D"/>
    <w:pPr>
      <w:spacing w:before="100" w:beforeAutospacing="1" w:after="100" w:afterAutospacing="1" w:line="240" w:lineRule="auto"/>
    </w:pPr>
    <w:rPr>
      <w:rFonts w:ascii="Times" w:hAnsi="Times" w:cs="Times New Roman" w:eastAsiaTheme="minorEastAsia"/>
      <w:sz w:val="20"/>
      <w:szCs w:val="20"/>
      <w:lang w:eastAsia="ja-JP"/>
    </w:rPr>
  </w:style>
  <w:style w:type="paragraph" w:styleId="Header">
    <w:name w:val="header"/>
    <w:basedOn w:val="Normal"/>
    <w:link w:val="HeaderChar"/>
    <w:uiPriority w:val="99"/>
    <w:unhideWhenUsed/>
    <w:rsid w:val="007941A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41AE"/>
  </w:style>
  <w:style w:type="paragraph" w:styleId="Footer">
    <w:name w:val="footer"/>
    <w:basedOn w:val="Normal"/>
    <w:link w:val="FooterChar"/>
    <w:uiPriority w:val="99"/>
    <w:unhideWhenUsed/>
    <w:rsid w:val="007941A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41AE"/>
  </w:style>
  <w:style w:type="character" w:styleId="Heading1Char" w:customStyle="1">
    <w:name w:val="Heading 1 Char"/>
    <w:basedOn w:val="DefaultParagraphFont"/>
    <w:link w:val="Heading1"/>
    <w:uiPriority w:val="9"/>
    <w:rsid w:val="009239CA"/>
    <w:rPr>
      <w:rFonts w:asciiTheme="majorHAnsi" w:hAnsiTheme="majorHAnsi" w:eastAsiaTheme="majorEastAsia" w:cstheme="majorBidi"/>
      <w:b/>
      <w:color w:val="1F3864" w:themeColor="accent1" w:themeShade="80"/>
      <w:sz w:val="28"/>
      <w:szCs w:val="32"/>
    </w:rPr>
  </w:style>
  <w:style w:type="character" w:styleId="Heading2Char" w:customStyle="1">
    <w:name w:val="Heading 2 Char"/>
    <w:basedOn w:val="DefaultParagraphFont"/>
    <w:link w:val="Heading2"/>
    <w:uiPriority w:val="9"/>
    <w:rsid w:val="009239CA"/>
    <w:rPr>
      <w:rFonts w:asciiTheme="majorHAnsi" w:hAnsiTheme="majorHAnsi" w:eastAsiaTheme="majorEastAsia" w:cstheme="majorBidi"/>
      <w:b/>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2263">
      <w:bodyDiv w:val="1"/>
      <w:marLeft w:val="0"/>
      <w:marRight w:val="0"/>
      <w:marTop w:val="0"/>
      <w:marBottom w:val="0"/>
      <w:divBdr>
        <w:top w:val="none" w:sz="0" w:space="0" w:color="auto"/>
        <w:left w:val="none" w:sz="0" w:space="0" w:color="auto"/>
        <w:bottom w:val="none" w:sz="0" w:space="0" w:color="auto"/>
        <w:right w:val="none" w:sz="0" w:space="0" w:color="auto"/>
      </w:divBdr>
    </w:div>
    <w:div w:id="60449252">
      <w:bodyDiv w:val="1"/>
      <w:marLeft w:val="0"/>
      <w:marRight w:val="0"/>
      <w:marTop w:val="0"/>
      <w:marBottom w:val="0"/>
      <w:divBdr>
        <w:top w:val="none" w:sz="0" w:space="0" w:color="auto"/>
        <w:left w:val="none" w:sz="0" w:space="0" w:color="auto"/>
        <w:bottom w:val="none" w:sz="0" w:space="0" w:color="auto"/>
        <w:right w:val="none" w:sz="0" w:space="0" w:color="auto"/>
      </w:divBdr>
    </w:div>
    <w:div w:id="349334617">
      <w:bodyDiv w:val="1"/>
      <w:marLeft w:val="0"/>
      <w:marRight w:val="0"/>
      <w:marTop w:val="0"/>
      <w:marBottom w:val="0"/>
      <w:divBdr>
        <w:top w:val="none" w:sz="0" w:space="0" w:color="auto"/>
        <w:left w:val="none" w:sz="0" w:space="0" w:color="auto"/>
        <w:bottom w:val="none" w:sz="0" w:space="0" w:color="auto"/>
        <w:right w:val="none" w:sz="0" w:space="0" w:color="auto"/>
      </w:divBdr>
    </w:div>
    <w:div w:id="746147372">
      <w:bodyDiv w:val="1"/>
      <w:marLeft w:val="0"/>
      <w:marRight w:val="0"/>
      <w:marTop w:val="0"/>
      <w:marBottom w:val="0"/>
      <w:divBdr>
        <w:top w:val="none" w:sz="0" w:space="0" w:color="auto"/>
        <w:left w:val="none" w:sz="0" w:space="0" w:color="auto"/>
        <w:bottom w:val="none" w:sz="0" w:space="0" w:color="auto"/>
        <w:right w:val="none" w:sz="0" w:space="0" w:color="auto"/>
      </w:divBdr>
    </w:div>
    <w:div w:id="1112630477">
      <w:bodyDiv w:val="1"/>
      <w:marLeft w:val="0"/>
      <w:marRight w:val="0"/>
      <w:marTop w:val="0"/>
      <w:marBottom w:val="0"/>
      <w:divBdr>
        <w:top w:val="none" w:sz="0" w:space="0" w:color="auto"/>
        <w:left w:val="none" w:sz="0" w:space="0" w:color="auto"/>
        <w:bottom w:val="none" w:sz="0" w:space="0" w:color="auto"/>
        <w:right w:val="none" w:sz="0" w:space="0" w:color="auto"/>
      </w:divBdr>
    </w:div>
    <w:div w:id="1209144811">
      <w:bodyDiv w:val="1"/>
      <w:marLeft w:val="0"/>
      <w:marRight w:val="0"/>
      <w:marTop w:val="0"/>
      <w:marBottom w:val="0"/>
      <w:divBdr>
        <w:top w:val="none" w:sz="0" w:space="0" w:color="auto"/>
        <w:left w:val="none" w:sz="0" w:space="0" w:color="auto"/>
        <w:bottom w:val="none" w:sz="0" w:space="0" w:color="auto"/>
        <w:right w:val="none" w:sz="0" w:space="0" w:color="auto"/>
      </w:divBdr>
      <w:divsChild>
        <w:div w:id="323975588">
          <w:marLeft w:val="0"/>
          <w:marRight w:val="0"/>
          <w:marTop w:val="0"/>
          <w:marBottom w:val="0"/>
          <w:divBdr>
            <w:top w:val="none" w:sz="0" w:space="0" w:color="auto"/>
            <w:left w:val="none" w:sz="0" w:space="0" w:color="auto"/>
            <w:bottom w:val="none" w:sz="0" w:space="0" w:color="auto"/>
            <w:right w:val="none" w:sz="0" w:space="0" w:color="auto"/>
          </w:divBdr>
        </w:div>
      </w:divsChild>
    </w:div>
    <w:div w:id="1292131363">
      <w:bodyDiv w:val="1"/>
      <w:marLeft w:val="0"/>
      <w:marRight w:val="0"/>
      <w:marTop w:val="0"/>
      <w:marBottom w:val="0"/>
      <w:divBdr>
        <w:top w:val="none" w:sz="0" w:space="0" w:color="auto"/>
        <w:left w:val="none" w:sz="0" w:space="0" w:color="auto"/>
        <w:bottom w:val="none" w:sz="0" w:space="0" w:color="auto"/>
        <w:right w:val="none" w:sz="0" w:space="0" w:color="auto"/>
      </w:divBdr>
    </w:div>
    <w:div w:id="2008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F64D-79DB-49F1-9351-AE195B82258E}">
  <we:reference id="7a10b68b-e060-4ac1-b669-3fa5f0332e46" version="1.0.0.0" store="EXCatalog" storeType="EXCatalog"/>
  <we:alternateReferences>
    <we:reference id="WA20000228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5" ma:contentTypeDescription="Create a new document." ma:contentTypeScope="" ma:versionID="a21960cecc01f637834f654cd47dbb18">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e418aeb976030f2c4d924da3e87032e3"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81D13-7AA1-43D0-A533-29073B1A7F5F}">
  <ds:schemaRefs>
    <ds:schemaRef ds:uri="b1af6195-247b-42e6-9c6e-c178122a45ef"/>
    <ds:schemaRef ds:uri="http://schemas.microsoft.com/office/infopath/2007/PartnerControls"/>
    <ds:schemaRef ds:uri="http://purl.org/dc/dcmitype/"/>
    <ds:schemaRef ds:uri="http://schemas.openxmlformats.org/package/2006/metadata/core-properties"/>
    <ds:schemaRef ds:uri="http://purl.org/dc/elements/1.1/"/>
    <ds:schemaRef ds:uri="http://www.w3.org/XML/1998/namespace"/>
    <ds:schemaRef ds:uri="98d88515-9981-4d93-bed1-cebcd5e9e4c6"/>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F8427C4-977D-44A5-A52C-ECCB32A12289}">
  <ds:schemaRefs>
    <ds:schemaRef ds:uri="http://schemas.openxmlformats.org/officeDocument/2006/bibliography"/>
  </ds:schemaRefs>
</ds:datastoreItem>
</file>

<file path=customXml/itemProps3.xml><?xml version="1.0" encoding="utf-8"?>
<ds:datastoreItem xmlns:ds="http://schemas.openxmlformats.org/officeDocument/2006/customXml" ds:itemID="{63590AF0-46B8-4FCA-A84A-42020EA20E1B}">
  <ds:schemaRefs>
    <ds:schemaRef ds:uri="http://schemas.microsoft.com/sharepoint/v3/contenttype/forms"/>
  </ds:schemaRefs>
</ds:datastoreItem>
</file>

<file path=customXml/itemProps4.xml><?xml version="1.0" encoding="utf-8"?>
<ds:datastoreItem xmlns:ds="http://schemas.openxmlformats.org/officeDocument/2006/customXml" ds:itemID="{FBFE0F58-E2A3-4893-8C63-30E0F2FDE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Jules Jones</dc:creator>
  <keywords/>
  <dc:description/>
  <lastModifiedBy>Jenny Talusan</lastModifiedBy>
  <revision>19</revision>
  <dcterms:created xsi:type="dcterms:W3CDTF">2023-02-22T16:01:00.0000000Z</dcterms:created>
  <dcterms:modified xsi:type="dcterms:W3CDTF">2025-01-13T19:11:57.7528533Z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