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13D58" w14:textId="7578A4EA" w:rsidR="00153046" w:rsidRPr="003E7FF2" w:rsidRDefault="003E7FF2" w:rsidP="004C04B7">
      <w:pPr>
        <w:jc w:val="center"/>
        <w:rPr>
          <w:b/>
          <w:sz w:val="22"/>
        </w:rPr>
      </w:pPr>
      <w:r w:rsidRPr="003E7FF2">
        <w:rPr>
          <w:b/>
          <w:sz w:val="22"/>
        </w:rPr>
        <w:t>A</w:t>
      </w:r>
      <w:r w:rsidR="004C04B7" w:rsidRPr="003E7FF2">
        <w:rPr>
          <w:b/>
          <w:sz w:val="22"/>
        </w:rPr>
        <w:t xml:space="preserve">nnual </w:t>
      </w:r>
      <w:r w:rsidRPr="003E7FF2">
        <w:rPr>
          <w:b/>
          <w:sz w:val="22"/>
        </w:rPr>
        <w:t>Department</w:t>
      </w:r>
      <w:r w:rsidR="00350369">
        <w:rPr>
          <w:b/>
          <w:sz w:val="22"/>
        </w:rPr>
        <w:t>al</w:t>
      </w:r>
      <w:r w:rsidRPr="003E7FF2">
        <w:rPr>
          <w:b/>
          <w:sz w:val="22"/>
        </w:rPr>
        <w:t xml:space="preserve"> </w:t>
      </w:r>
      <w:r w:rsidR="004C04B7" w:rsidRPr="003E7FF2">
        <w:rPr>
          <w:b/>
          <w:sz w:val="22"/>
        </w:rPr>
        <w:t>Assessment Report</w:t>
      </w:r>
      <w:r w:rsidR="00692B4B">
        <w:rPr>
          <w:b/>
          <w:sz w:val="22"/>
        </w:rPr>
        <w:t xml:space="preserve"> December 2018</w:t>
      </w:r>
    </w:p>
    <w:p w14:paraId="005B1A03" w14:textId="77777777" w:rsidR="004C04B7" w:rsidRPr="003E7FF2" w:rsidRDefault="004C04B7" w:rsidP="004C04B7">
      <w:pPr>
        <w:jc w:val="center"/>
        <w:rPr>
          <w:b/>
          <w:sz w:val="22"/>
        </w:rPr>
      </w:pPr>
    </w:p>
    <w:p w14:paraId="42018BAE" w14:textId="3F4BC303" w:rsidR="004C04B7" w:rsidRPr="003E7FF2" w:rsidRDefault="00507B45" w:rsidP="00507B45">
      <w:pPr>
        <w:rPr>
          <w:b/>
          <w:sz w:val="22"/>
          <w:u w:val="single"/>
        </w:rPr>
      </w:pPr>
      <w:r w:rsidRPr="003E7FF2">
        <w:rPr>
          <w:b/>
          <w:sz w:val="22"/>
        </w:rPr>
        <w:t>Department</w:t>
      </w:r>
      <w:r w:rsidR="008A37DD">
        <w:rPr>
          <w:b/>
          <w:sz w:val="22"/>
        </w:rPr>
        <w:t xml:space="preserve"> or Program</w:t>
      </w:r>
      <w:r w:rsidRPr="003E7FF2">
        <w:rPr>
          <w:b/>
          <w:sz w:val="22"/>
        </w:rPr>
        <w:t>:</w:t>
      </w:r>
      <w:r w:rsidR="003E7FF2">
        <w:rPr>
          <w:b/>
          <w:sz w:val="22"/>
        </w:rPr>
        <w:t xml:space="preserve"> </w:t>
      </w:r>
      <w:r w:rsidR="00692B4B" w:rsidRPr="00692B4B">
        <w:rPr>
          <w:sz w:val="22"/>
        </w:rPr>
        <w:t>Chemistry &amp; Biochemistry</w:t>
      </w:r>
    </w:p>
    <w:p w14:paraId="50585A98" w14:textId="3AFF251F" w:rsidR="00507B45" w:rsidRPr="00692B4B" w:rsidRDefault="00507B45" w:rsidP="00507B45">
      <w:pPr>
        <w:rPr>
          <w:sz w:val="22"/>
        </w:rPr>
      </w:pPr>
      <w:r w:rsidRPr="003E7FF2">
        <w:rPr>
          <w:b/>
          <w:sz w:val="22"/>
        </w:rPr>
        <w:t xml:space="preserve">Academic Year of Report: </w:t>
      </w:r>
      <w:r w:rsidR="00692B4B">
        <w:rPr>
          <w:sz w:val="22"/>
        </w:rPr>
        <w:t>AY 2017-2018</w:t>
      </w:r>
    </w:p>
    <w:p w14:paraId="2D0870DC" w14:textId="7D73802F" w:rsidR="000E354D" w:rsidRPr="000E354D" w:rsidRDefault="000E354D" w:rsidP="00507B45">
      <w:pPr>
        <w:rPr>
          <w:b/>
          <w:sz w:val="22"/>
          <w:u w:val="single"/>
        </w:rPr>
      </w:pPr>
      <w:r>
        <w:rPr>
          <w:b/>
          <w:sz w:val="22"/>
        </w:rPr>
        <w:t>Department Contact Person for Assessment:</w:t>
      </w:r>
      <w:r w:rsidR="00692B4B">
        <w:rPr>
          <w:sz w:val="22"/>
        </w:rPr>
        <w:t xml:space="preserve"> Julie A. Haack</w:t>
      </w:r>
    </w:p>
    <w:p w14:paraId="68984CE9" w14:textId="77777777" w:rsidR="00507B45" w:rsidRPr="003E7FF2" w:rsidRDefault="00507B45" w:rsidP="00507B45">
      <w:pPr>
        <w:rPr>
          <w:b/>
          <w:sz w:val="22"/>
        </w:rPr>
      </w:pPr>
    </w:p>
    <w:p w14:paraId="0A34DC6D" w14:textId="482CAE24" w:rsidR="00B92DDB" w:rsidRPr="003E7FF2" w:rsidRDefault="00B92DDB" w:rsidP="00507B45">
      <w:pPr>
        <w:rPr>
          <w:b/>
          <w:sz w:val="22"/>
        </w:rPr>
      </w:pPr>
      <w:r w:rsidRPr="003E7FF2">
        <w:rPr>
          <w:b/>
          <w:sz w:val="22"/>
        </w:rPr>
        <w:t xml:space="preserve">Section 1: Learning </w:t>
      </w:r>
      <w:r w:rsidR="001C4F2E" w:rsidRPr="003E7FF2">
        <w:rPr>
          <w:b/>
          <w:sz w:val="22"/>
        </w:rPr>
        <w:t xml:space="preserve">Objectives </w:t>
      </w:r>
      <w:r w:rsidR="000E354D">
        <w:rPr>
          <w:b/>
          <w:sz w:val="22"/>
        </w:rPr>
        <w:t>Assessed for this Report</w:t>
      </w:r>
    </w:p>
    <w:p w14:paraId="3A5BD0B9" w14:textId="77777777" w:rsidR="00074520" w:rsidRDefault="00074520" w:rsidP="00A7616E">
      <w:pPr>
        <w:rPr>
          <w:sz w:val="22"/>
        </w:rPr>
      </w:pPr>
    </w:p>
    <w:p w14:paraId="39E12CA3" w14:textId="13F8ABAF" w:rsidR="00B92DDB" w:rsidRDefault="00074520" w:rsidP="00507B45">
      <w:pPr>
        <w:rPr>
          <w:sz w:val="22"/>
        </w:rPr>
      </w:pPr>
      <w:r>
        <w:rPr>
          <w:sz w:val="22"/>
        </w:rPr>
        <w:t xml:space="preserve">The learning objective assessed during this period are described below as learning goals 1 and 2 and are the same for both our Chemistry and Biochemistry majors. </w:t>
      </w:r>
      <w:r w:rsidR="00D35155">
        <w:rPr>
          <w:sz w:val="22"/>
        </w:rPr>
        <w:t xml:space="preserve">Figure 1 documents how the </w:t>
      </w:r>
      <w:r>
        <w:rPr>
          <w:sz w:val="22"/>
        </w:rPr>
        <w:t>number of students we serve has increased over the past 20 years peaking from 2013 to 2016.</w:t>
      </w:r>
    </w:p>
    <w:p w14:paraId="2F3F81E0" w14:textId="77777777" w:rsidR="00074520" w:rsidRPr="003E7FF2" w:rsidRDefault="00074520" w:rsidP="00507B45">
      <w:pPr>
        <w:rPr>
          <w:i/>
          <w:sz w:val="22"/>
        </w:rPr>
      </w:pPr>
    </w:p>
    <w:p w14:paraId="22B7C2A9" w14:textId="77777777" w:rsidR="00692B4B" w:rsidRPr="00692B4B" w:rsidRDefault="00692B4B" w:rsidP="00692B4B">
      <w:pPr>
        <w:rPr>
          <w:sz w:val="22"/>
        </w:rPr>
      </w:pPr>
      <w:r w:rsidRPr="00692B4B">
        <w:rPr>
          <w:b/>
          <w:sz w:val="22"/>
        </w:rPr>
        <w:t>Learning Goal 1:</w:t>
      </w:r>
      <w:r w:rsidRPr="00692B4B">
        <w:rPr>
          <w:sz w:val="22"/>
        </w:rPr>
        <w:t xml:space="preserve"> Master a broad set of chemical concepts concerning the fundamentals in the basic areas of the discipline (organic, inorganic, analytical, physical and biochemistry). Students will demonstrate an understanding of structure, chemical properties, and reactions of chemicals and biomolecules.</w:t>
      </w:r>
    </w:p>
    <w:p w14:paraId="7EB395EC" w14:textId="77777777" w:rsidR="00692B4B" w:rsidRPr="00692B4B" w:rsidRDefault="00692B4B" w:rsidP="00692B4B">
      <w:pPr>
        <w:rPr>
          <w:sz w:val="22"/>
        </w:rPr>
      </w:pPr>
    </w:p>
    <w:p w14:paraId="5DD268CB" w14:textId="45DF24B4" w:rsidR="005A37F5" w:rsidRPr="00D35155" w:rsidRDefault="00692B4B" w:rsidP="00507B45">
      <w:pPr>
        <w:rPr>
          <w:sz w:val="22"/>
        </w:rPr>
      </w:pPr>
      <w:r w:rsidRPr="00692B4B">
        <w:rPr>
          <w:b/>
          <w:sz w:val="22"/>
        </w:rPr>
        <w:t>Learning Goal 2:</w:t>
      </w:r>
      <w:r w:rsidRPr="00692B4B">
        <w:rPr>
          <w:sz w:val="22"/>
        </w:rPr>
        <w:t xml:space="preserve"> Demonstrate a firm foundation in the conceptual, quantitative, and computational thinking that underlies the theories and models that form the basis for reasoning about molecular systems. Students should be able to connect this theoretical understanding to the experimental methods used to test those theories and models.</w:t>
      </w:r>
    </w:p>
    <w:p w14:paraId="4F8CF6E9" w14:textId="6DE91598" w:rsidR="00012F37" w:rsidRDefault="00012F37" w:rsidP="00507B45">
      <w:pPr>
        <w:rPr>
          <w:b/>
          <w:sz w:val="22"/>
        </w:rPr>
      </w:pPr>
    </w:p>
    <w:p w14:paraId="21EE56F7" w14:textId="2968F0AE" w:rsidR="00012F37" w:rsidRDefault="00012F37" w:rsidP="00507B45">
      <w:pPr>
        <w:rPr>
          <w:b/>
          <w:sz w:val="22"/>
        </w:rPr>
      </w:pPr>
      <w:r>
        <w:rPr>
          <w:noProof/>
        </w:rPr>
        <w:drawing>
          <wp:inline distT="0" distB="0" distL="0" distR="0" wp14:anchorId="39E61183" wp14:editId="222C189A">
            <wp:extent cx="6309360" cy="2964180"/>
            <wp:effectExtent l="0" t="0" r="15240" b="7620"/>
            <wp:docPr id="3" name="Chart 3">
              <a:extLst xmlns:a="http://schemas.openxmlformats.org/drawingml/2006/main">
                <a:ext uri="{FF2B5EF4-FFF2-40B4-BE49-F238E27FC236}">
                  <a16:creationId xmlns:a16="http://schemas.microsoft.com/office/drawing/2014/main" id="{00000000-0008-0000-0600-000018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39FA4E4" w14:textId="3E857A3F" w:rsidR="00012F37" w:rsidRDefault="00012F37" w:rsidP="00507B45">
      <w:pPr>
        <w:rPr>
          <w:b/>
          <w:sz w:val="22"/>
        </w:rPr>
      </w:pPr>
    </w:p>
    <w:p w14:paraId="21AF9E4D" w14:textId="6958BA86" w:rsidR="00012F37" w:rsidRDefault="00012F37" w:rsidP="00507B45">
      <w:pPr>
        <w:rPr>
          <w:b/>
          <w:sz w:val="22"/>
        </w:rPr>
      </w:pPr>
    </w:p>
    <w:p w14:paraId="0BF89C9F" w14:textId="4CA8052A" w:rsidR="00012F37" w:rsidRPr="00012F37" w:rsidRDefault="00012F37" w:rsidP="00507B45">
      <w:pPr>
        <w:rPr>
          <w:sz w:val="22"/>
        </w:rPr>
      </w:pPr>
      <w:r>
        <w:rPr>
          <w:b/>
          <w:sz w:val="22"/>
        </w:rPr>
        <w:t xml:space="preserve">Figure 1. Number of Chemistry and Biochemistry Majors over Time. </w:t>
      </w:r>
      <w:r>
        <w:rPr>
          <w:sz w:val="22"/>
        </w:rPr>
        <w:t>Shows the number of chemistry majors (blue) and biochemistry majors (orange) per year from fall 1998 to fall 2018 (20 years). The total number of majors is shown in gray.</w:t>
      </w:r>
    </w:p>
    <w:p w14:paraId="3833C34D" w14:textId="34D8223C" w:rsidR="00012F37" w:rsidRDefault="00012F37" w:rsidP="00507B45">
      <w:pPr>
        <w:rPr>
          <w:b/>
          <w:sz w:val="22"/>
        </w:rPr>
      </w:pPr>
    </w:p>
    <w:p w14:paraId="7C99692B" w14:textId="4379C4BE" w:rsidR="001A62F4" w:rsidRDefault="001A62F4" w:rsidP="00074520">
      <w:pPr>
        <w:rPr>
          <w:b/>
          <w:sz w:val="22"/>
        </w:rPr>
      </w:pPr>
      <w:bookmarkStart w:id="0" w:name="_GoBack"/>
      <w:bookmarkEnd w:id="0"/>
    </w:p>
    <w:p w14:paraId="180EE418" w14:textId="70373E45" w:rsidR="00074520" w:rsidRDefault="00074520" w:rsidP="00074520">
      <w:pPr>
        <w:rPr>
          <w:b/>
          <w:sz w:val="22"/>
        </w:rPr>
      </w:pPr>
      <w:r w:rsidRPr="003E7FF2">
        <w:rPr>
          <w:b/>
          <w:sz w:val="22"/>
        </w:rPr>
        <w:t>Section 2:  Assessment Activities</w:t>
      </w:r>
      <w:r>
        <w:rPr>
          <w:b/>
          <w:sz w:val="22"/>
        </w:rPr>
        <w:t xml:space="preserve"> </w:t>
      </w:r>
    </w:p>
    <w:p w14:paraId="3C10FD33" w14:textId="77777777" w:rsidR="004F5EA6" w:rsidRDefault="004F5EA6" w:rsidP="00A7616E">
      <w:pPr>
        <w:rPr>
          <w:sz w:val="22"/>
        </w:rPr>
      </w:pPr>
    </w:p>
    <w:p w14:paraId="3798CF6B" w14:textId="0D290E45" w:rsidR="004F5EA6" w:rsidRDefault="004F5EA6" w:rsidP="004F5EA6">
      <w:pPr>
        <w:rPr>
          <w:sz w:val="22"/>
        </w:rPr>
      </w:pPr>
      <w:r w:rsidRPr="00692B4B">
        <w:rPr>
          <w:b/>
          <w:sz w:val="22"/>
        </w:rPr>
        <w:t>Learning Goal 1:</w:t>
      </w:r>
      <w:r w:rsidRPr="00692B4B">
        <w:rPr>
          <w:sz w:val="22"/>
        </w:rPr>
        <w:t xml:space="preserve"> Master a broad set of chemical concepts concerning the fundamentals in the basic areas of the discipline (organic, inorganic, analytical, physical and biochemistry). Students will demonstrate an understanding of structure, chemical properties, and reactions of chemicals and biomolecules.</w:t>
      </w:r>
    </w:p>
    <w:p w14:paraId="43EDE1DF" w14:textId="17FF0646" w:rsidR="005A37F5" w:rsidRDefault="005A37F5" w:rsidP="004F5EA6">
      <w:pPr>
        <w:rPr>
          <w:sz w:val="22"/>
        </w:rPr>
      </w:pPr>
    </w:p>
    <w:p w14:paraId="41E5B0DE" w14:textId="2D53846D" w:rsidR="00200B04" w:rsidRPr="00200B04" w:rsidRDefault="005A37F5" w:rsidP="00200B04">
      <w:pPr>
        <w:rPr>
          <w:sz w:val="22"/>
        </w:rPr>
      </w:pPr>
      <w:bookmarkStart w:id="1" w:name="OLE_LINK1"/>
      <w:r>
        <w:rPr>
          <w:sz w:val="22"/>
        </w:rPr>
        <w:t xml:space="preserve">This year our faculty began a process of identifying and evaluating </w:t>
      </w:r>
      <w:r w:rsidR="004F5EA6">
        <w:rPr>
          <w:sz w:val="22"/>
        </w:rPr>
        <w:t>reliable tool</w:t>
      </w:r>
      <w:r w:rsidR="00200B04">
        <w:rPr>
          <w:sz w:val="22"/>
        </w:rPr>
        <w:t>(s)</w:t>
      </w:r>
      <w:r w:rsidR="004F5EA6">
        <w:rPr>
          <w:sz w:val="22"/>
        </w:rPr>
        <w:t xml:space="preserve"> to assess the </w:t>
      </w:r>
      <w:r w:rsidR="003B561F">
        <w:rPr>
          <w:sz w:val="22"/>
        </w:rPr>
        <w:t>mastery</w:t>
      </w:r>
      <w:r w:rsidR="004F5EA6">
        <w:rPr>
          <w:sz w:val="22"/>
        </w:rPr>
        <w:t xml:space="preserve"> of a broad set of chemical concepts for our majors.  </w:t>
      </w:r>
      <w:r>
        <w:rPr>
          <w:sz w:val="22"/>
        </w:rPr>
        <w:t xml:space="preserve">The American Chemical Society – </w:t>
      </w:r>
      <w:r w:rsidRPr="00200B04">
        <w:rPr>
          <w:sz w:val="22"/>
        </w:rPr>
        <w:t>Division of Chemical Education Examinations Institut</w:t>
      </w:r>
      <w:r>
        <w:rPr>
          <w:sz w:val="22"/>
        </w:rPr>
        <w:t xml:space="preserve">e provides national exams that can be used to assess </w:t>
      </w:r>
      <w:r w:rsidR="001A62F4">
        <w:rPr>
          <w:sz w:val="22"/>
        </w:rPr>
        <w:t xml:space="preserve">student performance at </w:t>
      </w:r>
      <w:r>
        <w:rPr>
          <w:sz w:val="22"/>
        </w:rPr>
        <w:t xml:space="preserve">different stages of the chemistry curriculum. Our faculty reviewed three exams covering the first, second and final years of the </w:t>
      </w:r>
      <w:r w:rsidR="00C02298">
        <w:rPr>
          <w:sz w:val="22"/>
        </w:rPr>
        <w:t xml:space="preserve">chemistry and biochemistry </w:t>
      </w:r>
      <w:r>
        <w:rPr>
          <w:sz w:val="22"/>
        </w:rPr>
        <w:t xml:space="preserve">curriculum and selected the </w:t>
      </w:r>
      <w:r w:rsidR="00200B04" w:rsidRPr="00200B04">
        <w:rPr>
          <w:sz w:val="22"/>
        </w:rPr>
        <w:t>DUCK18 – 2018 Diagnostic of Undergraduate Chemical Knowledge, a</w:t>
      </w:r>
      <w:r>
        <w:rPr>
          <w:sz w:val="22"/>
        </w:rPr>
        <w:t>s a</w:t>
      </w:r>
      <w:r w:rsidR="00200B04" w:rsidRPr="00200B04">
        <w:rPr>
          <w:sz w:val="22"/>
        </w:rPr>
        <w:t xml:space="preserve"> senior level exam</w:t>
      </w:r>
      <w:r w:rsidR="00200B04">
        <w:rPr>
          <w:sz w:val="22"/>
        </w:rPr>
        <w:t xml:space="preserve">. </w:t>
      </w:r>
      <w:r>
        <w:rPr>
          <w:sz w:val="22"/>
        </w:rPr>
        <w:t xml:space="preserve">We will begin using this </w:t>
      </w:r>
      <w:r w:rsidR="00200B04">
        <w:rPr>
          <w:sz w:val="22"/>
        </w:rPr>
        <w:t>exam to evaluate all graduating students in chemistry and biochemistry starting Winter 2019.</w:t>
      </w:r>
    </w:p>
    <w:bookmarkEnd w:id="1"/>
    <w:p w14:paraId="063B4232" w14:textId="791B2F5A" w:rsidR="004F5EA6" w:rsidRDefault="004F5EA6" w:rsidP="00A7616E">
      <w:pPr>
        <w:rPr>
          <w:sz w:val="22"/>
        </w:rPr>
      </w:pPr>
    </w:p>
    <w:p w14:paraId="53CB3B32" w14:textId="4DA6ECC0" w:rsidR="004F5EA6" w:rsidRDefault="00200B04" w:rsidP="00A7616E">
      <w:pPr>
        <w:rPr>
          <w:sz w:val="22"/>
        </w:rPr>
      </w:pPr>
      <w:r>
        <w:rPr>
          <w:sz w:val="22"/>
        </w:rPr>
        <w:t xml:space="preserve">One advantage of this approach is that </w:t>
      </w:r>
      <w:r w:rsidR="00B430C2">
        <w:rPr>
          <w:sz w:val="22"/>
        </w:rPr>
        <w:t>th</w:t>
      </w:r>
      <w:r>
        <w:rPr>
          <w:sz w:val="22"/>
        </w:rPr>
        <w:t>e exams institute provides a tool</w:t>
      </w:r>
      <w:r w:rsidR="005A37F5">
        <w:rPr>
          <w:sz w:val="22"/>
        </w:rPr>
        <w:t xml:space="preserve"> that compares the performance of our students with student performances from other US schools. </w:t>
      </w:r>
      <w:r>
        <w:rPr>
          <w:sz w:val="22"/>
        </w:rPr>
        <w:t>This will enable us to track internal and external performance from year to year</w:t>
      </w:r>
      <w:r w:rsidR="00DC6D1C">
        <w:rPr>
          <w:sz w:val="22"/>
        </w:rPr>
        <w:t xml:space="preserve"> and potentially identify gaps in our curriculum.</w:t>
      </w:r>
    </w:p>
    <w:p w14:paraId="633879D4" w14:textId="467FD793" w:rsidR="00200B04" w:rsidRDefault="00200B04" w:rsidP="00A7616E">
      <w:pPr>
        <w:rPr>
          <w:sz w:val="22"/>
        </w:rPr>
      </w:pPr>
    </w:p>
    <w:p w14:paraId="6A44EC55" w14:textId="6A29EE84" w:rsidR="005A37F5" w:rsidRPr="005A37F5" w:rsidRDefault="005A37F5" w:rsidP="005A37F5">
      <w:pPr>
        <w:rPr>
          <w:b/>
          <w:sz w:val="22"/>
        </w:rPr>
      </w:pPr>
      <w:r w:rsidRPr="005A37F5">
        <w:rPr>
          <w:b/>
          <w:sz w:val="22"/>
        </w:rPr>
        <w:t>Learning Goal #2:</w:t>
      </w:r>
      <w:r>
        <w:rPr>
          <w:b/>
          <w:sz w:val="22"/>
        </w:rPr>
        <w:t xml:space="preserve"> </w:t>
      </w:r>
      <w:r w:rsidRPr="00692B4B">
        <w:rPr>
          <w:sz w:val="22"/>
        </w:rPr>
        <w:t>Demonstrate a firm foundation in the conceptual, quantitative, and computational thinking that underlies the theories and models that form the basis for reasoning about molecular systems. Students should be able to connect this theoretical understanding to the experimental methods used to test those theories and models.</w:t>
      </w:r>
    </w:p>
    <w:p w14:paraId="54CEB6A5" w14:textId="7E209CB8" w:rsidR="005A37F5" w:rsidRDefault="005A37F5" w:rsidP="00A7616E">
      <w:pPr>
        <w:rPr>
          <w:sz w:val="22"/>
        </w:rPr>
      </w:pPr>
    </w:p>
    <w:p w14:paraId="1317E529" w14:textId="36272627" w:rsidR="005D5862" w:rsidRDefault="004D5166" w:rsidP="00A7616E">
      <w:pPr>
        <w:rPr>
          <w:sz w:val="22"/>
        </w:rPr>
      </w:pPr>
      <w:r>
        <w:rPr>
          <w:sz w:val="22"/>
        </w:rPr>
        <w:t>Because</w:t>
      </w:r>
      <w:r w:rsidR="00C02298">
        <w:rPr>
          <w:sz w:val="22"/>
        </w:rPr>
        <w:t xml:space="preserve"> chemistry and biochemistry are experimental sciences, one of the most accepted ways to demonstrate the core components of learning goal #2 is to publish work in a peer reviewed journal.  In </w:t>
      </w:r>
      <w:r w:rsidR="005A37F5">
        <w:rPr>
          <w:sz w:val="22"/>
        </w:rPr>
        <w:t>February 2018</w:t>
      </w:r>
      <w:r w:rsidR="00C02298">
        <w:rPr>
          <w:sz w:val="22"/>
        </w:rPr>
        <w:t>,</w:t>
      </w:r>
      <w:r w:rsidR="005A37F5">
        <w:rPr>
          <w:sz w:val="22"/>
        </w:rPr>
        <w:t xml:space="preserve"> we began </w:t>
      </w:r>
      <w:r w:rsidR="00692B4B">
        <w:rPr>
          <w:sz w:val="22"/>
        </w:rPr>
        <w:t xml:space="preserve">documenting the number of peer reviewed research publications that include undergraduate authors.  </w:t>
      </w:r>
      <w:r w:rsidR="00C02298">
        <w:rPr>
          <w:sz w:val="22"/>
        </w:rPr>
        <w:t>Figure 2 shows the data collected from faculty via email in February 2018 and November 2018.</w:t>
      </w:r>
    </w:p>
    <w:p w14:paraId="3D104E11" w14:textId="62153E40" w:rsidR="005D5862" w:rsidRDefault="005D5862" w:rsidP="00A7616E">
      <w:pPr>
        <w:rPr>
          <w:sz w:val="22"/>
        </w:rPr>
      </w:pPr>
    </w:p>
    <w:p w14:paraId="67158CA6" w14:textId="207CE854" w:rsidR="005D5862" w:rsidRDefault="00D162E0" w:rsidP="005D5862">
      <w:pPr>
        <w:ind w:left="540"/>
        <w:rPr>
          <w:sz w:val="22"/>
        </w:rPr>
      </w:pPr>
      <w:r>
        <w:rPr>
          <w:noProof/>
        </w:rPr>
        <mc:AlternateContent>
          <mc:Choice Requires="wps">
            <w:drawing>
              <wp:anchor distT="0" distB="0" distL="114300" distR="114300" simplePos="0" relativeHeight="251659264" behindDoc="0" locked="0" layoutInCell="1" allowOverlap="1" wp14:anchorId="7F3DFFA7" wp14:editId="2C6B7200">
                <wp:simplePos x="0" y="0"/>
                <wp:positionH relativeFrom="column">
                  <wp:posOffset>3462655</wp:posOffset>
                </wp:positionH>
                <wp:positionV relativeFrom="paragraph">
                  <wp:posOffset>2823747</wp:posOffset>
                </wp:positionV>
                <wp:extent cx="499621" cy="224593"/>
                <wp:effectExtent l="0" t="0" r="0" b="4445"/>
                <wp:wrapNone/>
                <wp:docPr id="2" name="TextBox 1">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499621" cy="224593"/>
                        </a:xfrm>
                        <a:prstGeom prst="rect">
                          <a:avLst/>
                        </a:prstGeom>
                        <a:solidFill>
                          <a:schemeClr val="bg1"/>
                        </a:solidFill>
                      </wps:spPr>
                      <wps:txbx>
                        <w:txbxContent>
                          <w:p w14:paraId="616A3A59" w14:textId="327597F9" w:rsidR="005D5862" w:rsidRPr="00D162E0" w:rsidRDefault="005D5862" w:rsidP="005D5862">
                            <w:pPr>
                              <w:pStyle w:val="NormalWeb"/>
                              <w:spacing w:before="0" w:beforeAutospacing="0" w:after="0" w:afterAutospacing="0"/>
                              <w:rPr>
                                <w:b/>
                                <w:sz w:val="20"/>
                              </w:rPr>
                            </w:pPr>
                            <w:r w:rsidRPr="00D162E0">
                              <w:rPr>
                                <w:rFonts w:asciiTheme="minorHAnsi" w:hAnsi="Calibri" w:cstheme="minorBidi"/>
                                <w:b/>
                                <w:sz w:val="18"/>
                                <w:szCs w:val="22"/>
                              </w:rPr>
                              <w:t>2018</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F3DFFA7" id="_x0000_t202" coordsize="21600,21600" o:spt="202" path="m,l,21600r21600,l21600,xe">
                <v:stroke joinstyle="miter"/>
                <v:path gradientshapeok="t" o:connecttype="rect"/>
              </v:shapetype>
              <v:shape id="TextBox 1" o:spid="_x0000_s1026" type="#_x0000_t202" style="position:absolute;left:0;text-align:left;margin-left:272.65pt;margin-top:222.35pt;width:39.35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" fillcolor="white [3212]" stroked="f">
                <v:textbox>
                  <w:txbxContent>
                    <w:p w14:paraId="616A3A59" w14:textId="327597F9" w:rsidR="005D5862" w:rsidRPr="00D162E0" w:rsidRDefault="005D5862" w:rsidP="005D5862">
                      <w:pPr>
                        <w:pStyle w:val="NormalWeb"/>
                        <w:spacing w:before="0" w:beforeAutospacing="0" w:after="0" w:afterAutospacing="0"/>
                        <w:rPr>
                          <w:b/>
                          <w:sz w:val="20"/>
                        </w:rPr>
                      </w:pPr>
                      <w:r w:rsidRPr="00D162E0">
                        <w:rPr>
                          <w:rFonts w:asciiTheme="minorHAnsi" w:hAnsi="Calibri" w:cstheme="minorBidi"/>
                          <w:b/>
                          <w:sz w:val="18"/>
                          <w:szCs w:val="22"/>
                        </w:rPr>
                        <w:t>2018</w:t>
                      </w:r>
                    </w:p>
                  </w:txbxContent>
                </v:textbox>
              </v:shape>
            </w:pict>
          </mc:Fallback>
        </mc:AlternateContent>
      </w:r>
      <w:r w:rsidR="005D5862">
        <w:rPr>
          <w:noProof/>
        </w:rPr>
        <w:drawing>
          <wp:inline distT="0" distB="0" distL="0" distR="0" wp14:anchorId="7E4054AD" wp14:editId="18DE37D2">
            <wp:extent cx="4109720" cy="3129699"/>
            <wp:effectExtent l="0" t="0" r="17780" b="7620"/>
            <wp:docPr id="1" name="Chart 1">
              <a:extLst xmlns:a="http://schemas.openxmlformats.org/drawingml/2006/main">
                <a:ext uri="{FF2B5EF4-FFF2-40B4-BE49-F238E27FC236}">
                  <a16:creationId xmlns:a16="http://schemas.microsoft.com/office/drawing/2014/main" id="{3C82331A-2268-8A48-8515-8CE19E4144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5D5862" w:rsidRPr="005D5862">
        <w:rPr>
          <w:noProof/>
        </w:rPr>
        <w:t xml:space="preserve"> </w:t>
      </w:r>
    </w:p>
    <w:p w14:paraId="5F50681A" w14:textId="512C0306" w:rsidR="005D5862" w:rsidRDefault="005D5862" w:rsidP="00A7616E">
      <w:pPr>
        <w:rPr>
          <w:sz w:val="22"/>
        </w:rPr>
      </w:pPr>
    </w:p>
    <w:p w14:paraId="258798DB" w14:textId="42CEBD24" w:rsidR="009A7807" w:rsidRDefault="00D162E0" w:rsidP="00A7616E">
      <w:pPr>
        <w:rPr>
          <w:sz w:val="22"/>
        </w:rPr>
      </w:pPr>
      <w:r w:rsidRPr="00D162E0">
        <w:rPr>
          <w:b/>
          <w:sz w:val="22"/>
        </w:rPr>
        <w:t xml:space="preserve">Figure 2. Publications with Undergraduate </w:t>
      </w:r>
      <w:r w:rsidR="003B561F" w:rsidRPr="00D162E0">
        <w:rPr>
          <w:b/>
          <w:sz w:val="22"/>
        </w:rPr>
        <w:t>Authors</w:t>
      </w:r>
      <w:r w:rsidRPr="00D162E0">
        <w:rPr>
          <w:b/>
          <w:sz w:val="22"/>
        </w:rPr>
        <w:t>.</w:t>
      </w:r>
      <w:r>
        <w:rPr>
          <w:sz w:val="22"/>
        </w:rPr>
        <w:t xml:space="preserve"> The number of peer reviewed papers published by faculty in the Department of Chemistry &amp; Biochemistry with undergraduate author since 2016. Note that data were collected in November for 2018 and thus does not accurately reflect publications in this </w:t>
      </w:r>
      <w:r w:rsidR="003B561F">
        <w:rPr>
          <w:sz w:val="22"/>
        </w:rPr>
        <w:t>year</w:t>
      </w:r>
      <w:r>
        <w:rPr>
          <w:sz w:val="22"/>
        </w:rPr>
        <w:t>.</w:t>
      </w:r>
    </w:p>
    <w:p w14:paraId="03311F21" w14:textId="5DFFD22A" w:rsidR="00DC6D1C" w:rsidRPr="009A7807" w:rsidRDefault="00DC6D1C" w:rsidP="00A7616E">
      <w:pPr>
        <w:rPr>
          <w:b/>
          <w:sz w:val="22"/>
        </w:rPr>
      </w:pPr>
      <w:r w:rsidRPr="009A7807">
        <w:rPr>
          <w:b/>
          <w:sz w:val="22"/>
        </w:rPr>
        <w:lastRenderedPageBreak/>
        <w:t>Conclusions</w:t>
      </w:r>
    </w:p>
    <w:p w14:paraId="42B5CF39" w14:textId="53DB9DC4" w:rsidR="00692B4B" w:rsidRDefault="00692B4B" w:rsidP="00A7616E">
      <w:pPr>
        <w:rPr>
          <w:sz w:val="22"/>
        </w:rPr>
      </w:pPr>
    </w:p>
    <w:p w14:paraId="5FFD7BAA" w14:textId="402D650B" w:rsidR="009A7807" w:rsidRDefault="009A7807" w:rsidP="00A7616E">
      <w:pPr>
        <w:rPr>
          <w:sz w:val="22"/>
        </w:rPr>
      </w:pPr>
      <w:r>
        <w:rPr>
          <w:sz w:val="22"/>
        </w:rPr>
        <w:t xml:space="preserve">For the 2017-2018 academic year, the Department of Chemistry &amp; Biochemistry selected external, direct </w:t>
      </w:r>
      <w:r w:rsidR="003B561F">
        <w:rPr>
          <w:sz w:val="22"/>
        </w:rPr>
        <w:t>measures</w:t>
      </w:r>
      <w:r>
        <w:rPr>
          <w:sz w:val="22"/>
        </w:rPr>
        <w:t xml:space="preserve"> of performance that include a national exam for documenting core knowledge and peer reviewed publication documenting </w:t>
      </w:r>
      <w:r w:rsidRPr="00692B4B">
        <w:rPr>
          <w:sz w:val="22"/>
        </w:rPr>
        <w:t>a firm foundation in the conceptual, quantitative, and computational thinking that underlies the theories and models that form the basis for reasoning about molecular systems.</w:t>
      </w:r>
      <w:r>
        <w:rPr>
          <w:sz w:val="22"/>
        </w:rPr>
        <w:t xml:space="preserve"> Both measures are considered best practice in our discipline.</w:t>
      </w:r>
    </w:p>
    <w:p w14:paraId="7DC4C293" w14:textId="77777777" w:rsidR="00C478D1" w:rsidRDefault="00C478D1" w:rsidP="00A165D1">
      <w:pPr>
        <w:rPr>
          <w:b/>
          <w:sz w:val="22"/>
        </w:rPr>
      </w:pPr>
    </w:p>
    <w:p w14:paraId="020A0C40" w14:textId="1FB1A99E" w:rsidR="00B92DDB" w:rsidRPr="003E7FF2" w:rsidRDefault="00B92DDB" w:rsidP="00A165D1">
      <w:pPr>
        <w:rPr>
          <w:b/>
          <w:sz w:val="22"/>
        </w:rPr>
      </w:pPr>
      <w:r w:rsidRPr="003E7FF2">
        <w:rPr>
          <w:b/>
          <w:sz w:val="22"/>
        </w:rPr>
        <w:t xml:space="preserve">Section 3:  </w:t>
      </w:r>
      <w:r w:rsidR="00AA0C5C" w:rsidRPr="003E7FF2">
        <w:rPr>
          <w:b/>
          <w:sz w:val="22"/>
        </w:rPr>
        <w:t xml:space="preserve">Actions Taken Based on Assessment </w:t>
      </w:r>
      <w:r w:rsidR="00A165D1" w:rsidRPr="003E7FF2">
        <w:rPr>
          <w:b/>
          <w:sz w:val="22"/>
        </w:rPr>
        <w:t>Analysis</w:t>
      </w:r>
    </w:p>
    <w:p w14:paraId="0DF0A005" w14:textId="77777777" w:rsidR="00067B67" w:rsidRDefault="00067B67" w:rsidP="00507B45">
      <w:pPr>
        <w:rPr>
          <w:sz w:val="22"/>
        </w:rPr>
      </w:pPr>
    </w:p>
    <w:p w14:paraId="53EC2DC9" w14:textId="55C8B2B6" w:rsidR="00067B67" w:rsidRDefault="00067B67" w:rsidP="00507B45">
      <w:pPr>
        <w:rPr>
          <w:sz w:val="22"/>
        </w:rPr>
      </w:pPr>
      <w:r>
        <w:rPr>
          <w:sz w:val="22"/>
        </w:rPr>
        <w:t xml:space="preserve">We were surprised by the number of undergraduate authors on peer reviewed publications. This has led us to </w:t>
      </w:r>
      <w:r w:rsidR="009A7807">
        <w:rPr>
          <w:sz w:val="22"/>
        </w:rPr>
        <w:t xml:space="preserve">invest more resources into supporting and growing </w:t>
      </w:r>
      <w:r>
        <w:rPr>
          <w:sz w:val="22"/>
        </w:rPr>
        <w:t>our undergraduate research community</w:t>
      </w:r>
      <w:r w:rsidR="009A7807">
        <w:rPr>
          <w:sz w:val="22"/>
        </w:rPr>
        <w:t xml:space="preserve">.  This fall we hosted our </w:t>
      </w:r>
      <w:r>
        <w:rPr>
          <w:sz w:val="22"/>
        </w:rPr>
        <w:t>first ever meet</w:t>
      </w:r>
      <w:r w:rsidR="009A7807">
        <w:rPr>
          <w:sz w:val="22"/>
        </w:rPr>
        <w:t>-</w:t>
      </w:r>
      <w:r>
        <w:rPr>
          <w:sz w:val="22"/>
        </w:rPr>
        <w:t>and</w:t>
      </w:r>
      <w:r w:rsidR="009A7807">
        <w:rPr>
          <w:sz w:val="22"/>
        </w:rPr>
        <w:t>-</w:t>
      </w:r>
      <w:r>
        <w:rPr>
          <w:sz w:val="22"/>
        </w:rPr>
        <w:t xml:space="preserve">greet </w:t>
      </w:r>
      <w:r w:rsidR="009A7807">
        <w:rPr>
          <w:sz w:val="22"/>
        </w:rPr>
        <w:t xml:space="preserve">and we are </w:t>
      </w:r>
      <w:r>
        <w:rPr>
          <w:sz w:val="22"/>
        </w:rPr>
        <w:t xml:space="preserve">hosting a Faculty </w:t>
      </w:r>
      <w:r w:rsidR="003B561F">
        <w:rPr>
          <w:sz w:val="22"/>
        </w:rPr>
        <w:t>Research</w:t>
      </w:r>
      <w:r>
        <w:rPr>
          <w:sz w:val="22"/>
        </w:rPr>
        <w:t xml:space="preserve"> Showcase event in January 2019.  Our goal is to host </w:t>
      </w:r>
      <w:r w:rsidR="005A26C7">
        <w:rPr>
          <w:sz w:val="22"/>
        </w:rPr>
        <w:t>community building events</w:t>
      </w:r>
      <w:r>
        <w:rPr>
          <w:sz w:val="22"/>
        </w:rPr>
        <w:t xml:space="preserve"> </w:t>
      </w:r>
      <w:r w:rsidR="005A26C7">
        <w:rPr>
          <w:sz w:val="22"/>
        </w:rPr>
        <w:t>each quarter. In the future, we will use these events to collect more qualitative data regarding the health and accomplishments of our students.</w:t>
      </w:r>
    </w:p>
    <w:p w14:paraId="170B04E5" w14:textId="77777777" w:rsidR="009E0CA9" w:rsidRDefault="009E0CA9" w:rsidP="00507B45">
      <w:pPr>
        <w:rPr>
          <w:sz w:val="22"/>
        </w:rPr>
      </w:pPr>
    </w:p>
    <w:p w14:paraId="1CC7949E" w14:textId="5F9F969E" w:rsidR="009E0CA9" w:rsidRDefault="009E0CA9" w:rsidP="009E0CA9">
      <w:pPr>
        <w:rPr>
          <w:sz w:val="22"/>
        </w:rPr>
      </w:pPr>
      <w:r>
        <w:rPr>
          <w:sz w:val="22"/>
        </w:rPr>
        <w:t xml:space="preserve">As described above we will begin implementing the </w:t>
      </w:r>
      <w:r w:rsidRPr="00200B04">
        <w:rPr>
          <w:sz w:val="22"/>
        </w:rPr>
        <w:t>DUCK18 – 2018 Diagnostic of Undergraduate Chemical Knowledge, a</w:t>
      </w:r>
      <w:r>
        <w:rPr>
          <w:sz w:val="22"/>
        </w:rPr>
        <w:t>s a</w:t>
      </w:r>
      <w:r w:rsidRPr="00200B04">
        <w:rPr>
          <w:sz w:val="22"/>
        </w:rPr>
        <w:t xml:space="preserve"> senior level exam</w:t>
      </w:r>
      <w:r>
        <w:rPr>
          <w:sz w:val="22"/>
        </w:rPr>
        <w:t>. We will begin using this exam to evaluate all graduating students in chemistry and biochemistry starting Winter 2019.</w:t>
      </w:r>
    </w:p>
    <w:p w14:paraId="39D80422" w14:textId="77777777" w:rsidR="00AA0C5C" w:rsidRPr="003E7FF2" w:rsidRDefault="00AA0C5C" w:rsidP="00507B45">
      <w:pPr>
        <w:rPr>
          <w:sz w:val="22"/>
        </w:rPr>
      </w:pPr>
    </w:p>
    <w:p w14:paraId="7C5094C1" w14:textId="71604C9E" w:rsidR="00AA0C5C" w:rsidRPr="003E7FF2" w:rsidRDefault="00AA0C5C" w:rsidP="00507B45">
      <w:pPr>
        <w:rPr>
          <w:b/>
          <w:sz w:val="22"/>
        </w:rPr>
      </w:pPr>
      <w:r w:rsidRPr="003E7FF2">
        <w:rPr>
          <w:b/>
          <w:sz w:val="22"/>
        </w:rPr>
        <w:t>Section 4:  Other Efforts to Improve the Student Educational Experience</w:t>
      </w:r>
    </w:p>
    <w:p w14:paraId="486DF298" w14:textId="77777777" w:rsidR="00DC6D1C" w:rsidRDefault="00DC6D1C" w:rsidP="00A7616E">
      <w:pPr>
        <w:rPr>
          <w:sz w:val="22"/>
        </w:rPr>
      </w:pPr>
    </w:p>
    <w:p w14:paraId="16ABFDF9" w14:textId="5ADA08D6" w:rsidR="00DC6D1C" w:rsidRDefault="00DC6D1C" w:rsidP="00A7616E">
      <w:pPr>
        <w:rPr>
          <w:sz w:val="22"/>
        </w:rPr>
      </w:pPr>
      <w:r>
        <w:rPr>
          <w:sz w:val="22"/>
        </w:rPr>
        <w:t xml:space="preserve">We are increasing the number and diversity of upper division advanced electives for our majors and modifying how we advertise these opportunities using social media. The lack of advanced electives, especially for our biochemistry majors has been a significant </w:t>
      </w:r>
      <w:r w:rsidR="005A26C7">
        <w:rPr>
          <w:sz w:val="22"/>
        </w:rPr>
        <w:t>challenge</w:t>
      </w:r>
      <w:r>
        <w:rPr>
          <w:sz w:val="22"/>
        </w:rPr>
        <w:t>.  We used to encourage our biochemistry majors to enroll in appropriate advanced elective</w:t>
      </w:r>
      <w:r w:rsidR="005A26C7">
        <w:rPr>
          <w:sz w:val="22"/>
        </w:rPr>
        <w:t>s</w:t>
      </w:r>
      <w:r>
        <w:rPr>
          <w:sz w:val="22"/>
        </w:rPr>
        <w:t xml:space="preserve"> offered in the </w:t>
      </w:r>
      <w:r w:rsidR="005A26C7">
        <w:rPr>
          <w:sz w:val="22"/>
        </w:rPr>
        <w:t>Biology</w:t>
      </w:r>
      <w:r>
        <w:rPr>
          <w:sz w:val="22"/>
        </w:rPr>
        <w:t xml:space="preserve"> department but due to capacity issues, </w:t>
      </w:r>
      <w:r w:rsidR="005A26C7">
        <w:rPr>
          <w:sz w:val="22"/>
        </w:rPr>
        <w:t>Biology</w:t>
      </w:r>
      <w:r>
        <w:rPr>
          <w:sz w:val="22"/>
        </w:rPr>
        <w:t xml:space="preserve"> only reserve two spots per class for our majors. This drives our majors to change</w:t>
      </w:r>
      <w:r w:rsidR="005A26C7">
        <w:rPr>
          <w:sz w:val="22"/>
        </w:rPr>
        <w:t xml:space="preserve"> their majors</w:t>
      </w:r>
      <w:r>
        <w:rPr>
          <w:sz w:val="22"/>
        </w:rPr>
        <w:t xml:space="preserve"> to Biology in order to get priority registration access or change to majors like human physiology that have fewer logistical challenges.</w:t>
      </w:r>
    </w:p>
    <w:p w14:paraId="08C3E6EE" w14:textId="5E7EE006" w:rsidR="00DC6D1C" w:rsidRDefault="00DC6D1C" w:rsidP="00A7616E">
      <w:pPr>
        <w:rPr>
          <w:sz w:val="22"/>
        </w:rPr>
      </w:pPr>
    </w:p>
    <w:p w14:paraId="44651C6C" w14:textId="688FD77C" w:rsidR="00DC6D1C" w:rsidRDefault="00DC6D1C" w:rsidP="00A7616E">
      <w:pPr>
        <w:rPr>
          <w:sz w:val="22"/>
        </w:rPr>
      </w:pPr>
      <w:r>
        <w:rPr>
          <w:sz w:val="22"/>
        </w:rPr>
        <w:t xml:space="preserve">We are seeing fewer students </w:t>
      </w:r>
      <w:r w:rsidR="005D5862">
        <w:rPr>
          <w:sz w:val="22"/>
        </w:rPr>
        <w:t xml:space="preserve">expressing frustration because they are unable to graduate on time due to the lack of </w:t>
      </w:r>
      <w:r>
        <w:rPr>
          <w:sz w:val="22"/>
        </w:rPr>
        <w:t>advanced course offerings</w:t>
      </w:r>
      <w:r w:rsidR="005D5862">
        <w:rPr>
          <w:sz w:val="22"/>
        </w:rPr>
        <w:t>.</w:t>
      </w:r>
    </w:p>
    <w:p w14:paraId="54EF496E" w14:textId="77777777" w:rsidR="00AA0C5C" w:rsidRPr="003E7FF2" w:rsidRDefault="00AA0C5C" w:rsidP="00507B45">
      <w:pPr>
        <w:rPr>
          <w:sz w:val="22"/>
        </w:rPr>
      </w:pPr>
    </w:p>
    <w:p w14:paraId="7AE0E596" w14:textId="20D4A986" w:rsidR="00AA0C5C" w:rsidRPr="003E7FF2" w:rsidRDefault="00AA0C5C" w:rsidP="00507B45">
      <w:pPr>
        <w:rPr>
          <w:b/>
          <w:sz w:val="22"/>
        </w:rPr>
      </w:pPr>
      <w:r w:rsidRPr="003E7FF2">
        <w:rPr>
          <w:b/>
          <w:sz w:val="22"/>
        </w:rPr>
        <w:t>Section 5:  Plans for Next Year</w:t>
      </w:r>
    </w:p>
    <w:p w14:paraId="42BC2B22" w14:textId="77777777" w:rsidR="005A37F5" w:rsidRDefault="005A37F5" w:rsidP="00507B45">
      <w:pPr>
        <w:rPr>
          <w:sz w:val="22"/>
        </w:rPr>
      </w:pPr>
    </w:p>
    <w:p w14:paraId="14DC54BC" w14:textId="77777777" w:rsidR="009E0CA9" w:rsidRDefault="005A37F5" w:rsidP="00507B45">
      <w:pPr>
        <w:rPr>
          <w:sz w:val="22"/>
        </w:rPr>
      </w:pPr>
      <w:r>
        <w:rPr>
          <w:sz w:val="22"/>
        </w:rPr>
        <w:t xml:space="preserve">As discussed above, we will begin </w:t>
      </w:r>
      <w:r w:rsidR="009E0CA9">
        <w:rPr>
          <w:sz w:val="22"/>
        </w:rPr>
        <w:t xml:space="preserve">assessing learning outcome #1 using a comprehensive chemistry exam provided by the American Chemical Society (ACS).  The exam will be given to all graduating seniors and scores will be reported to the ACS so that we can compare our performance to national norms.  </w:t>
      </w:r>
    </w:p>
    <w:p w14:paraId="416191A1" w14:textId="77777777" w:rsidR="009E0CA9" w:rsidRDefault="009E0CA9" w:rsidP="00507B45">
      <w:pPr>
        <w:rPr>
          <w:sz w:val="22"/>
        </w:rPr>
      </w:pPr>
    </w:p>
    <w:p w14:paraId="7A013E0B" w14:textId="2480B01D" w:rsidR="005A26C7" w:rsidRDefault="009E0CA9" w:rsidP="00507B45">
      <w:pPr>
        <w:rPr>
          <w:sz w:val="22"/>
        </w:rPr>
      </w:pPr>
      <w:r>
        <w:rPr>
          <w:sz w:val="22"/>
        </w:rPr>
        <w:t>In addition, we will begin documenting and comparing a variety of demographic data for all of our graduates including information about their age, gender, “at risk” status, pre-college preparation and compare that with performance in our program</w:t>
      </w:r>
      <w:r w:rsidR="005A26C7">
        <w:rPr>
          <w:sz w:val="22"/>
        </w:rPr>
        <w:t xml:space="preserve">.  We will include tracking the following metrics – time to degree, GPA, participation in the Honors College, recipients of scholarships and departmental honors, numbers of students participating in undergraduate research and </w:t>
      </w:r>
      <w:r w:rsidR="003B561F">
        <w:rPr>
          <w:sz w:val="22"/>
        </w:rPr>
        <w:t>post-graduation</w:t>
      </w:r>
      <w:r w:rsidR="005A26C7">
        <w:rPr>
          <w:sz w:val="22"/>
        </w:rPr>
        <w:t xml:space="preserve"> plans. However, without national norms for comparison, this information has limited value.</w:t>
      </w:r>
    </w:p>
    <w:p w14:paraId="156DFF88" w14:textId="37F0BFAD" w:rsidR="009E0CA9" w:rsidRDefault="009E0CA9" w:rsidP="00507B45">
      <w:pPr>
        <w:rPr>
          <w:sz w:val="22"/>
        </w:rPr>
      </w:pPr>
    </w:p>
    <w:p w14:paraId="1B5ACDE4" w14:textId="126E407E" w:rsidR="009E0CA9" w:rsidRDefault="009E0CA9" w:rsidP="00507B45">
      <w:pPr>
        <w:rPr>
          <w:sz w:val="22"/>
        </w:rPr>
      </w:pPr>
      <w:r>
        <w:rPr>
          <w:sz w:val="22"/>
        </w:rPr>
        <w:t>We will also continue to grow our professional development curriculum to include more opportunities for students to participate in Individual Development Planning workshops.</w:t>
      </w:r>
    </w:p>
    <w:p w14:paraId="2AACE19E" w14:textId="45582B96" w:rsidR="009E0CA9" w:rsidRDefault="009E0CA9" w:rsidP="00507B45">
      <w:pPr>
        <w:rPr>
          <w:sz w:val="22"/>
        </w:rPr>
      </w:pPr>
    </w:p>
    <w:p w14:paraId="4F3D87BE" w14:textId="35D4464C" w:rsidR="005A37F5" w:rsidRPr="003E7FF2" w:rsidRDefault="003B561F" w:rsidP="00507B45">
      <w:pPr>
        <w:rPr>
          <w:sz w:val="22"/>
        </w:rPr>
      </w:pPr>
      <w:r>
        <w:rPr>
          <w:sz w:val="22"/>
        </w:rPr>
        <w:t>Budgetary</w:t>
      </w:r>
      <w:r w:rsidR="009E0CA9">
        <w:rPr>
          <w:sz w:val="22"/>
        </w:rPr>
        <w:t xml:space="preserve"> implications</w:t>
      </w:r>
      <w:r w:rsidR="005A26C7">
        <w:rPr>
          <w:sz w:val="22"/>
        </w:rPr>
        <w:t xml:space="preserve"> include the costs for collecting and analyzing data, hosting quarterly events and purchasing ACS exams.</w:t>
      </w:r>
    </w:p>
    <w:sectPr w:rsidR="005A37F5" w:rsidRPr="003E7FF2" w:rsidSect="004D5166">
      <w:footerReference w:type="default" r:id="rId9"/>
      <w:pgSz w:w="12240" w:h="15840"/>
      <w:pgMar w:top="1152" w:right="1152" w:bottom="864"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5119F" w14:textId="77777777" w:rsidR="004D5166" w:rsidRDefault="004D5166" w:rsidP="004D5166">
      <w:r>
        <w:separator/>
      </w:r>
    </w:p>
  </w:endnote>
  <w:endnote w:type="continuationSeparator" w:id="0">
    <w:p w14:paraId="1AF13258" w14:textId="77777777" w:rsidR="004D5166" w:rsidRDefault="004D5166" w:rsidP="004D5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4623524"/>
      <w:docPartObj>
        <w:docPartGallery w:val="Page Numbers (Bottom of Page)"/>
        <w:docPartUnique/>
      </w:docPartObj>
    </w:sdtPr>
    <w:sdtEndPr>
      <w:rPr>
        <w:noProof/>
      </w:rPr>
    </w:sdtEndPr>
    <w:sdtContent>
      <w:p w14:paraId="3ABD3659" w14:textId="2D749ACF" w:rsidR="004D5166" w:rsidRDefault="004D5166">
        <w:pPr>
          <w:pStyle w:val="Footer"/>
          <w:jc w:val="center"/>
        </w:pPr>
        <w:r>
          <w:fldChar w:fldCharType="begin"/>
        </w:r>
        <w:r>
          <w:instrText xml:space="preserve"> PAGE   \* MERGEFORMAT </w:instrText>
        </w:r>
        <w:r>
          <w:fldChar w:fldCharType="separate"/>
        </w:r>
        <w:r w:rsidR="005C0195">
          <w:rPr>
            <w:noProof/>
          </w:rPr>
          <w:t>2</w:t>
        </w:r>
        <w:r>
          <w:rPr>
            <w:noProof/>
          </w:rPr>
          <w:fldChar w:fldCharType="end"/>
        </w:r>
      </w:p>
    </w:sdtContent>
  </w:sdt>
  <w:p w14:paraId="59C30F3D" w14:textId="77777777" w:rsidR="004D5166" w:rsidRDefault="004D5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16F02" w14:textId="77777777" w:rsidR="004D5166" w:rsidRDefault="004D5166" w:rsidP="004D5166">
      <w:r>
        <w:separator/>
      </w:r>
    </w:p>
  </w:footnote>
  <w:footnote w:type="continuationSeparator" w:id="0">
    <w:p w14:paraId="2508AC6E" w14:textId="77777777" w:rsidR="004D5166" w:rsidRDefault="004D5166" w:rsidP="004D5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23024"/>
    <w:multiLevelType w:val="hybridMultilevel"/>
    <w:tmpl w:val="BDA4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5F54C2"/>
    <w:multiLevelType w:val="hybridMultilevel"/>
    <w:tmpl w:val="BDA4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A1189B"/>
    <w:multiLevelType w:val="hybridMultilevel"/>
    <w:tmpl w:val="4934C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F85243"/>
    <w:multiLevelType w:val="hybridMultilevel"/>
    <w:tmpl w:val="BDA4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B810FA"/>
    <w:multiLevelType w:val="hybridMultilevel"/>
    <w:tmpl w:val="BDA4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4B7"/>
    <w:rsid w:val="00002122"/>
    <w:rsid w:val="00012F37"/>
    <w:rsid w:val="00056AAA"/>
    <w:rsid w:val="00067B67"/>
    <w:rsid w:val="00074520"/>
    <w:rsid w:val="000A5DDD"/>
    <w:rsid w:val="000C5F8C"/>
    <w:rsid w:val="000E354D"/>
    <w:rsid w:val="00165A07"/>
    <w:rsid w:val="001A62F4"/>
    <w:rsid w:val="001C4F2E"/>
    <w:rsid w:val="00200B04"/>
    <w:rsid w:val="002464E0"/>
    <w:rsid w:val="00350369"/>
    <w:rsid w:val="003B561F"/>
    <w:rsid w:val="003C277D"/>
    <w:rsid w:val="003E7FF2"/>
    <w:rsid w:val="00490C7C"/>
    <w:rsid w:val="004C04B7"/>
    <w:rsid w:val="004C488B"/>
    <w:rsid w:val="004D5166"/>
    <w:rsid w:val="004F5EA6"/>
    <w:rsid w:val="00507B45"/>
    <w:rsid w:val="005A26C7"/>
    <w:rsid w:val="005A37F5"/>
    <w:rsid w:val="005B4AE1"/>
    <w:rsid w:val="005C0195"/>
    <w:rsid w:val="005D5862"/>
    <w:rsid w:val="00607B6A"/>
    <w:rsid w:val="00620955"/>
    <w:rsid w:val="00692B4B"/>
    <w:rsid w:val="00695D39"/>
    <w:rsid w:val="0071515A"/>
    <w:rsid w:val="007649EE"/>
    <w:rsid w:val="007B0ECF"/>
    <w:rsid w:val="007B39E9"/>
    <w:rsid w:val="007D6DE6"/>
    <w:rsid w:val="00864A58"/>
    <w:rsid w:val="008A37DD"/>
    <w:rsid w:val="00914F19"/>
    <w:rsid w:val="009A7807"/>
    <w:rsid w:val="009B5D07"/>
    <w:rsid w:val="009E0CA9"/>
    <w:rsid w:val="00A165D1"/>
    <w:rsid w:val="00A41BAA"/>
    <w:rsid w:val="00A7616E"/>
    <w:rsid w:val="00AA0C5C"/>
    <w:rsid w:val="00AD35D6"/>
    <w:rsid w:val="00B35E87"/>
    <w:rsid w:val="00B430C2"/>
    <w:rsid w:val="00B51BAE"/>
    <w:rsid w:val="00B92DDB"/>
    <w:rsid w:val="00B978A2"/>
    <w:rsid w:val="00BF3C08"/>
    <w:rsid w:val="00C02298"/>
    <w:rsid w:val="00C478D1"/>
    <w:rsid w:val="00D06207"/>
    <w:rsid w:val="00D162E0"/>
    <w:rsid w:val="00D35155"/>
    <w:rsid w:val="00D40988"/>
    <w:rsid w:val="00DB0924"/>
    <w:rsid w:val="00DC0A19"/>
    <w:rsid w:val="00DC6D1C"/>
    <w:rsid w:val="00DD7082"/>
    <w:rsid w:val="00F71F64"/>
    <w:rsid w:val="00FB5C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3C78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B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DDB"/>
    <w:pPr>
      <w:ind w:left="720"/>
      <w:contextualSpacing/>
    </w:pPr>
  </w:style>
  <w:style w:type="character" w:styleId="CommentReference">
    <w:name w:val="annotation reference"/>
    <w:basedOn w:val="DefaultParagraphFont"/>
    <w:uiPriority w:val="99"/>
    <w:semiHidden/>
    <w:unhideWhenUsed/>
    <w:rsid w:val="00A165D1"/>
    <w:rPr>
      <w:sz w:val="18"/>
      <w:szCs w:val="18"/>
    </w:rPr>
  </w:style>
  <w:style w:type="paragraph" w:styleId="CommentText">
    <w:name w:val="annotation text"/>
    <w:basedOn w:val="Normal"/>
    <w:link w:val="CommentTextChar"/>
    <w:uiPriority w:val="99"/>
    <w:semiHidden/>
    <w:unhideWhenUsed/>
    <w:rsid w:val="00A165D1"/>
  </w:style>
  <w:style w:type="character" w:customStyle="1" w:styleId="CommentTextChar">
    <w:name w:val="Comment Text Char"/>
    <w:basedOn w:val="DefaultParagraphFont"/>
    <w:link w:val="CommentText"/>
    <w:uiPriority w:val="99"/>
    <w:semiHidden/>
    <w:rsid w:val="00A165D1"/>
  </w:style>
  <w:style w:type="paragraph" w:styleId="CommentSubject">
    <w:name w:val="annotation subject"/>
    <w:basedOn w:val="CommentText"/>
    <w:next w:val="CommentText"/>
    <w:link w:val="CommentSubjectChar"/>
    <w:uiPriority w:val="99"/>
    <w:semiHidden/>
    <w:unhideWhenUsed/>
    <w:rsid w:val="00A165D1"/>
    <w:rPr>
      <w:b/>
      <w:bCs/>
      <w:sz w:val="20"/>
      <w:szCs w:val="20"/>
    </w:rPr>
  </w:style>
  <w:style w:type="character" w:customStyle="1" w:styleId="CommentSubjectChar">
    <w:name w:val="Comment Subject Char"/>
    <w:basedOn w:val="CommentTextChar"/>
    <w:link w:val="CommentSubject"/>
    <w:uiPriority w:val="99"/>
    <w:semiHidden/>
    <w:rsid w:val="00A165D1"/>
    <w:rPr>
      <w:b/>
      <w:bCs/>
      <w:sz w:val="20"/>
      <w:szCs w:val="20"/>
    </w:rPr>
  </w:style>
  <w:style w:type="paragraph" w:styleId="BalloonText">
    <w:name w:val="Balloon Text"/>
    <w:basedOn w:val="Normal"/>
    <w:link w:val="BalloonTextChar"/>
    <w:uiPriority w:val="99"/>
    <w:semiHidden/>
    <w:unhideWhenUsed/>
    <w:rsid w:val="00A165D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65D1"/>
    <w:rPr>
      <w:rFonts w:ascii="Times New Roman" w:hAnsi="Times New Roman" w:cs="Times New Roman"/>
      <w:sz w:val="18"/>
      <w:szCs w:val="18"/>
    </w:rPr>
  </w:style>
  <w:style w:type="paragraph" w:styleId="NormalWeb">
    <w:name w:val="Normal (Web)"/>
    <w:basedOn w:val="Normal"/>
    <w:uiPriority w:val="99"/>
    <w:semiHidden/>
    <w:unhideWhenUsed/>
    <w:rsid w:val="005D5862"/>
    <w:pPr>
      <w:spacing w:before="100" w:beforeAutospacing="1" w:after="100" w:afterAutospacing="1"/>
    </w:pPr>
    <w:rPr>
      <w:rFonts w:ascii="Times New Roman" w:eastAsiaTheme="minorEastAsia" w:hAnsi="Times New Roman" w:cs="Times New Roman"/>
    </w:rPr>
  </w:style>
  <w:style w:type="paragraph" w:styleId="Header">
    <w:name w:val="header"/>
    <w:basedOn w:val="Normal"/>
    <w:link w:val="HeaderChar"/>
    <w:uiPriority w:val="99"/>
    <w:unhideWhenUsed/>
    <w:rsid w:val="004D5166"/>
    <w:pPr>
      <w:tabs>
        <w:tab w:val="center" w:pos="4680"/>
        <w:tab w:val="right" w:pos="9360"/>
      </w:tabs>
    </w:pPr>
  </w:style>
  <w:style w:type="character" w:customStyle="1" w:styleId="HeaderChar">
    <w:name w:val="Header Char"/>
    <w:basedOn w:val="DefaultParagraphFont"/>
    <w:link w:val="Header"/>
    <w:uiPriority w:val="99"/>
    <w:rsid w:val="004D5166"/>
  </w:style>
  <w:style w:type="paragraph" w:styleId="Footer">
    <w:name w:val="footer"/>
    <w:basedOn w:val="Normal"/>
    <w:link w:val="FooterChar"/>
    <w:uiPriority w:val="99"/>
    <w:unhideWhenUsed/>
    <w:rsid w:val="004D5166"/>
    <w:pPr>
      <w:tabs>
        <w:tab w:val="center" w:pos="4680"/>
        <w:tab w:val="right" w:pos="9360"/>
      </w:tabs>
    </w:pPr>
  </w:style>
  <w:style w:type="character" w:customStyle="1" w:styleId="FooterChar">
    <w:name w:val="Footer Char"/>
    <w:basedOn w:val="DefaultParagraphFont"/>
    <w:link w:val="Footer"/>
    <w:uiPriority w:val="99"/>
    <w:rsid w:val="004D5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403498">
      <w:bodyDiv w:val="1"/>
      <w:marLeft w:val="0"/>
      <w:marRight w:val="0"/>
      <w:marTop w:val="0"/>
      <w:marBottom w:val="0"/>
      <w:divBdr>
        <w:top w:val="none" w:sz="0" w:space="0" w:color="auto"/>
        <w:left w:val="none" w:sz="0" w:space="0" w:color="auto"/>
        <w:bottom w:val="none" w:sz="0" w:space="0" w:color="auto"/>
        <w:right w:val="none" w:sz="0" w:space="0" w:color="auto"/>
      </w:divBdr>
    </w:div>
    <w:div w:id="15156519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Users\jhaack\Desktop\Holding\Department%20Data%20F18\Copy%20of%20CH%20&amp;%20BIC%20Majors%20-%20Totals%20report.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Calibri"/>
                <a:ea typeface="Calibri"/>
                <a:cs typeface="Calibri"/>
              </a:defRPr>
            </a:pPr>
            <a:r>
              <a:rPr lang="en-US" sz="1800" b="1" i="0" u="none" strike="noStrike" baseline="0">
                <a:solidFill>
                  <a:srgbClr val="000000"/>
                </a:solidFill>
                <a:latin typeface="Calibri"/>
              </a:rPr>
              <a:t>Number of Chemistry and Biochemistry Majors</a:t>
            </a:r>
          </a:p>
          <a:p>
            <a:pPr>
              <a:defRPr sz="1000" b="0" i="0" u="none" strike="noStrike" baseline="0">
                <a:solidFill>
                  <a:srgbClr val="000000"/>
                </a:solidFill>
                <a:latin typeface="Calibri"/>
                <a:ea typeface="Calibri"/>
                <a:cs typeface="Calibri"/>
              </a:defRPr>
            </a:pPr>
            <a:r>
              <a:rPr lang="en-US" sz="1800" b="1" i="0" u="none" strike="noStrike" baseline="0">
                <a:solidFill>
                  <a:srgbClr val="000000"/>
                </a:solidFill>
                <a:latin typeface="Calibri"/>
              </a:rPr>
              <a:t>(Fall term official count)</a:t>
            </a:r>
          </a:p>
        </c:rich>
      </c:tx>
      <c:layout/>
      <c:overlay val="0"/>
    </c:title>
    <c:autoTitleDeleted val="0"/>
    <c:plotArea>
      <c:layout/>
      <c:barChart>
        <c:barDir val="col"/>
        <c:grouping val="clustered"/>
        <c:varyColors val="0"/>
        <c:ser>
          <c:idx val="0"/>
          <c:order val="0"/>
          <c:tx>
            <c:strRef>
              <c:f>Graphs!$B$1</c:f>
              <c:strCache>
                <c:ptCount val="1"/>
                <c:pt idx="0">
                  <c:v>CH</c:v>
                </c:pt>
              </c:strCache>
            </c:strRef>
          </c:tx>
          <c:invertIfNegative val="0"/>
          <c:cat>
            <c:strRef>
              <c:f>Graphs!$A$2:$A$22</c:f>
              <c:strCache>
                <c:ptCount val="21"/>
                <c:pt idx="0">
                  <c:v>1998-99</c:v>
                </c:pt>
                <c:pt idx="1">
                  <c:v>1999-00</c:v>
                </c:pt>
                <c:pt idx="2">
                  <c:v>2000-01</c:v>
                </c:pt>
                <c:pt idx="3">
                  <c:v>2001-02</c:v>
                </c:pt>
                <c:pt idx="4">
                  <c:v>2002-03</c:v>
                </c:pt>
                <c:pt idx="5">
                  <c:v>2003-04</c:v>
                </c:pt>
                <c:pt idx="6">
                  <c:v>2004-05</c:v>
                </c:pt>
                <c:pt idx="7">
                  <c:v>2005-06</c:v>
                </c:pt>
                <c:pt idx="8">
                  <c:v>2006-07</c:v>
                </c:pt>
                <c:pt idx="9">
                  <c:v>2007-08</c:v>
                </c:pt>
                <c:pt idx="10">
                  <c:v>2008-09</c:v>
                </c:pt>
                <c:pt idx="11">
                  <c:v>2009-10</c:v>
                </c:pt>
                <c:pt idx="12">
                  <c:v>2010-11</c:v>
                </c:pt>
                <c:pt idx="13">
                  <c:v>2011-12</c:v>
                </c:pt>
                <c:pt idx="14">
                  <c:v>2012-13</c:v>
                </c:pt>
                <c:pt idx="15">
                  <c:v>2013-14</c:v>
                </c:pt>
                <c:pt idx="16">
                  <c:v>2014-15</c:v>
                </c:pt>
                <c:pt idx="17">
                  <c:v>2015-16</c:v>
                </c:pt>
                <c:pt idx="18">
                  <c:v>2016-17</c:v>
                </c:pt>
                <c:pt idx="19">
                  <c:v>2017-18</c:v>
                </c:pt>
                <c:pt idx="20">
                  <c:v>2018-19</c:v>
                </c:pt>
              </c:strCache>
            </c:strRef>
          </c:cat>
          <c:val>
            <c:numRef>
              <c:f>Graphs!$B$2:$B$22</c:f>
              <c:numCache>
                <c:formatCode>General</c:formatCode>
                <c:ptCount val="21"/>
                <c:pt idx="0">
                  <c:v>140</c:v>
                </c:pt>
                <c:pt idx="1">
                  <c:v>110</c:v>
                </c:pt>
                <c:pt idx="2">
                  <c:v>96</c:v>
                </c:pt>
                <c:pt idx="3">
                  <c:v>111</c:v>
                </c:pt>
                <c:pt idx="4">
                  <c:v>124</c:v>
                </c:pt>
                <c:pt idx="5">
                  <c:v>137</c:v>
                </c:pt>
                <c:pt idx="6">
                  <c:v>169</c:v>
                </c:pt>
                <c:pt idx="7">
                  <c:v>162</c:v>
                </c:pt>
                <c:pt idx="8">
                  <c:v>173</c:v>
                </c:pt>
                <c:pt idx="9">
                  <c:v>183</c:v>
                </c:pt>
                <c:pt idx="10">
                  <c:v>127</c:v>
                </c:pt>
                <c:pt idx="11">
                  <c:v>134</c:v>
                </c:pt>
                <c:pt idx="12">
                  <c:v>146</c:v>
                </c:pt>
                <c:pt idx="13">
                  <c:v>162</c:v>
                </c:pt>
                <c:pt idx="14">
                  <c:v>184</c:v>
                </c:pt>
                <c:pt idx="15">
                  <c:v>180</c:v>
                </c:pt>
                <c:pt idx="16">
                  <c:v>186</c:v>
                </c:pt>
                <c:pt idx="17">
                  <c:v>164</c:v>
                </c:pt>
                <c:pt idx="18">
                  <c:v>165</c:v>
                </c:pt>
                <c:pt idx="19">
                  <c:v>156</c:v>
                </c:pt>
                <c:pt idx="20">
                  <c:v>144</c:v>
                </c:pt>
              </c:numCache>
            </c:numRef>
          </c:val>
          <c:extLst>
            <c:ext xmlns:c16="http://schemas.microsoft.com/office/drawing/2014/chart" uri="{C3380CC4-5D6E-409C-BE32-E72D297353CC}">
              <c16:uniqueId val="{00000000-35AA-454A-B171-43E0E8B1EB9D}"/>
            </c:ext>
          </c:extLst>
        </c:ser>
        <c:ser>
          <c:idx val="1"/>
          <c:order val="1"/>
          <c:tx>
            <c:strRef>
              <c:f>Graphs!$C$1</c:f>
              <c:strCache>
                <c:ptCount val="1"/>
                <c:pt idx="0">
                  <c:v>BIC</c:v>
                </c:pt>
              </c:strCache>
            </c:strRef>
          </c:tx>
          <c:invertIfNegative val="0"/>
          <c:cat>
            <c:strRef>
              <c:f>Graphs!$A$2:$A$22</c:f>
              <c:strCache>
                <c:ptCount val="21"/>
                <c:pt idx="0">
                  <c:v>1998-99</c:v>
                </c:pt>
                <c:pt idx="1">
                  <c:v>1999-00</c:v>
                </c:pt>
                <c:pt idx="2">
                  <c:v>2000-01</c:v>
                </c:pt>
                <c:pt idx="3">
                  <c:v>2001-02</c:v>
                </c:pt>
                <c:pt idx="4">
                  <c:v>2002-03</c:v>
                </c:pt>
                <c:pt idx="5">
                  <c:v>2003-04</c:v>
                </c:pt>
                <c:pt idx="6">
                  <c:v>2004-05</c:v>
                </c:pt>
                <c:pt idx="7">
                  <c:v>2005-06</c:v>
                </c:pt>
                <c:pt idx="8">
                  <c:v>2006-07</c:v>
                </c:pt>
                <c:pt idx="9">
                  <c:v>2007-08</c:v>
                </c:pt>
                <c:pt idx="10">
                  <c:v>2008-09</c:v>
                </c:pt>
                <c:pt idx="11">
                  <c:v>2009-10</c:v>
                </c:pt>
                <c:pt idx="12">
                  <c:v>2010-11</c:v>
                </c:pt>
                <c:pt idx="13">
                  <c:v>2011-12</c:v>
                </c:pt>
                <c:pt idx="14">
                  <c:v>2012-13</c:v>
                </c:pt>
                <c:pt idx="15">
                  <c:v>2013-14</c:v>
                </c:pt>
                <c:pt idx="16">
                  <c:v>2014-15</c:v>
                </c:pt>
                <c:pt idx="17">
                  <c:v>2015-16</c:v>
                </c:pt>
                <c:pt idx="18">
                  <c:v>2016-17</c:v>
                </c:pt>
                <c:pt idx="19">
                  <c:v>2017-18</c:v>
                </c:pt>
                <c:pt idx="20">
                  <c:v>2018-19</c:v>
                </c:pt>
              </c:strCache>
            </c:strRef>
          </c:cat>
          <c:val>
            <c:numRef>
              <c:f>Graphs!$C$2:$C$22</c:f>
              <c:numCache>
                <c:formatCode>General</c:formatCode>
                <c:ptCount val="21"/>
                <c:pt idx="0">
                  <c:v>91</c:v>
                </c:pt>
                <c:pt idx="1">
                  <c:v>117</c:v>
                </c:pt>
                <c:pt idx="2">
                  <c:v>119</c:v>
                </c:pt>
                <c:pt idx="3">
                  <c:v>134</c:v>
                </c:pt>
                <c:pt idx="4">
                  <c:v>131</c:v>
                </c:pt>
                <c:pt idx="5">
                  <c:v>141</c:v>
                </c:pt>
                <c:pt idx="6">
                  <c:v>148</c:v>
                </c:pt>
                <c:pt idx="7">
                  <c:v>132</c:v>
                </c:pt>
                <c:pt idx="8">
                  <c:v>137</c:v>
                </c:pt>
                <c:pt idx="9">
                  <c:v>146</c:v>
                </c:pt>
                <c:pt idx="10">
                  <c:v>113</c:v>
                </c:pt>
                <c:pt idx="11">
                  <c:v>125</c:v>
                </c:pt>
                <c:pt idx="12">
                  <c:v>160</c:v>
                </c:pt>
                <c:pt idx="13">
                  <c:v>193</c:v>
                </c:pt>
                <c:pt idx="14">
                  <c:v>184</c:v>
                </c:pt>
                <c:pt idx="15">
                  <c:v>225</c:v>
                </c:pt>
                <c:pt idx="16">
                  <c:v>203</c:v>
                </c:pt>
                <c:pt idx="17">
                  <c:v>232</c:v>
                </c:pt>
                <c:pt idx="18">
                  <c:v>222</c:v>
                </c:pt>
                <c:pt idx="19">
                  <c:v>204</c:v>
                </c:pt>
                <c:pt idx="20">
                  <c:v>186</c:v>
                </c:pt>
              </c:numCache>
            </c:numRef>
          </c:val>
          <c:extLst>
            <c:ext xmlns:c16="http://schemas.microsoft.com/office/drawing/2014/chart" uri="{C3380CC4-5D6E-409C-BE32-E72D297353CC}">
              <c16:uniqueId val="{00000001-35AA-454A-B171-43E0E8B1EB9D}"/>
            </c:ext>
          </c:extLst>
        </c:ser>
        <c:ser>
          <c:idx val="2"/>
          <c:order val="2"/>
          <c:tx>
            <c:strRef>
              <c:f>Graphs!$D$1</c:f>
              <c:strCache>
                <c:ptCount val="1"/>
                <c:pt idx="0">
                  <c:v>TOTAL</c:v>
                </c:pt>
              </c:strCache>
            </c:strRef>
          </c:tx>
          <c:invertIfNegative val="0"/>
          <c:cat>
            <c:strRef>
              <c:f>Graphs!$A$2:$A$22</c:f>
              <c:strCache>
                <c:ptCount val="21"/>
                <c:pt idx="0">
                  <c:v>1998-99</c:v>
                </c:pt>
                <c:pt idx="1">
                  <c:v>1999-00</c:v>
                </c:pt>
                <c:pt idx="2">
                  <c:v>2000-01</c:v>
                </c:pt>
                <c:pt idx="3">
                  <c:v>2001-02</c:v>
                </c:pt>
                <c:pt idx="4">
                  <c:v>2002-03</c:v>
                </c:pt>
                <c:pt idx="5">
                  <c:v>2003-04</c:v>
                </c:pt>
                <c:pt idx="6">
                  <c:v>2004-05</c:v>
                </c:pt>
                <c:pt idx="7">
                  <c:v>2005-06</c:v>
                </c:pt>
                <c:pt idx="8">
                  <c:v>2006-07</c:v>
                </c:pt>
                <c:pt idx="9">
                  <c:v>2007-08</c:v>
                </c:pt>
                <c:pt idx="10">
                  <c:v>2008-09</c:v>
                </c:pt>
                <c:pt idx="11">
                  <c:v>2009-10</c:v>
                </c:pt>
                <c:pt idx="12">
                  <c:v>2010-11</c:v>
                </c:pt>
                <c:pt idx="13">
                  <c:v>2011-12</c:v>
                </c:pt>
                <c:pt idx="14">
                  <c:v>2012-13</c:v>
                </c:pt>
                <c:pt idx="15">
                  <c:v>2013-14</c:v>
                </c:pt>
                <c:pt idx="16">
                  <c:v>2014-15</c:v>
                </c:pt>
                <c:pt idx="17">
                  <c:v>2015-16</c:v>
                </c:pt>
                <c:pt idx="18">
                  <c:v>2016-17</c:v>
                </c:pt>
                <c:pt idx="19">
                  <c:v>2017-18</c:v>
                </c:pt>
                <c:pt idx="20">
                  <c:v>2018-19</c:v>
                </c:pt>
              </c:strCache>
            </c:strRef>
          </c:cat>
          <c:val>
            <c:numRef>
              <c:f>Graphs!$D$2:$D$22</c:f>
              <c:numCache>
                <c:formatCode>General</c:formatCode>
                <c:ptCount val="21"/>
                <c:pt idx="0">
                  <c:v>231</c:v>
                </c:pt>
                <c:pt idx="1">
                  <c:v>227</c:v>
                </c:pt>
                <c:pt idx="2">
                  <c:v>215</c:v>
                </c:pt>
                <c:pt idx="3">
                  <c:v>245</c:v>
                </c:pt>
                <c:pt idx="4">
                  <c:v>255</c:v>
                </c:pt>
                <c:pt idx="5">
                  <c:v>278</c:v>
                </c:pt>
                <c:pt idx="6">
                  <c:v>317</c:v>
                </c:pt>
                <c:pt idx="7">
                  <c:v>294</c:v>
                </c:pt>
                <c:pt idx="8">
                  <c:v>310</c:v>
                </c:pt>
                <c:pt idx="9">
                  <c:v>329</c:v>
                </c:pt>
                <c:pt idx="10">
                  <c:v>240</c:v>
                </c:pt>
                <c:pt idx="11">
                  <c:v>259</c:v>
                </c:pt>
                <c:pt idx="12">
                  <c:v>306</c:v>
                </c:pt>
                <c:pt idx="13">
                  <c:v>355</c:v>
                </c:pt>
                <c:pt idx="14">
                  <c:v>368</c:v>
                </c:pt>
                <c:pt idx="15">
                  <c:v>405</c:v>
                </c:pt>
                <c:pt idx="16">
                  <c:v>389</c:v>
                </c:pt>
                <c:pt idx="17">
                  <c:v>396</c:v>
                </c:pt>
                <c:pt idx="18">
                  <c:v>387</c:v>
                </c:pt>
                <c:pt idx="19">
                  <c:v>360</c:v>
                </c:pt>
                <c:pt idx="20">
                  <c:v>330</c:v>
                </c:pt>
              </c:numCache>
            </c:numRef>
          </c:val>
          <c:extLst>
            <c:ext xmlns:c16="http://schemas.microsoft.com/office/drawing/2014/chart" uri="{C3380CC4-5D6E-409C-BE32-E72D297353CC}">
              <c16:uniqueId val="{00000002-35AA-454A-B171-43E0E8B1EB9D}"/>
            </c:ext>
          </c:extLst>
        </c:ser>
        <c:dLbls>
          <c:showLegendKey val="0"/>
          <c:showVal val="0"/>
          <c:showCatName val="0"/>
          <c:showSerName val="0"/>
          <c:showPercent val="0"/>
          <c:showBubbleSize val="0"/>
        </c:dLbls>
        <c:gapWidth val="150"/>
        <c:axId val="173861200"/>
        <c:axId val="173858400"/>
      </c:barChart>
      <c:catAx>
        <c:axId val="173861200"/>
        <c:scaling>
          <c:orientation val="minMax"/>
        </c:scaling>
        <c:delete val="0"/>
        <c:axPos val="b"/>
        <c:numFmt formatCode="General" sourceLinked="1"/>
        <c:majorTickMark val="none"/>
        <c:minorTickMark val="none"/>
        <c:tickLblPos val="nextTo"/>
        <c:txPr>
          <a:bodyPr rot="-2700000" vert="horz"/>
          <a:lstStyle/>
          <a:p>
            <a:pPr>
              <a:defRPr sz="1000" b="0" i="0" u="none" strike="noStrike" baseline="0">
                <a:solidFill>
                  <a:srgbClr val="000000"/>
                </a:solidFill>
                <a:latin typeface="Calibri"/>
                <a:ea typeface="Calibri"/>
                <a:cs typeface="Calibri"/>
              </a:defRPr>
            </a:pPr>
            <a:endParaRPr lang="en-US"/>
          </a:p>
        </c:txPr>
        <c:crossAx val="173858400"/>
        <c:crosses val="autoZero"/>
        <c:auto val="1"/>
        <c:lblAlgn val="ctr"/>
        <c:lblOffset val="100"/>
        <c:noMultiLvlLbl val="0"/>
      </c:catAx>
      <c:valAx>
        <c:axId val="173858400"/>
        <c:scaling>
          <c:orientation val="minMax"/>
        </c:scaling>
        <c:delete val="0"/>
        <c:axPos val="l"/>
        <c:majorGridlines/>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73861200"/>
        <c:crosses val="autoZero"/>
        <c:crossBetween val="between"/>
      </c:valAx>
    </c:plotArea>
    <c:legend>
      <c:legendPos val="r"/>
      <c:layout/>
      <c:overlay val="0"/>
      <c:txPr>
        <a:bodyPr/>
        <a:lstStyle/>
        <a:p>
          <a:pPr>
            <a:defRPr sz="1400"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Publications with Undergraduate</a:t>
            </a:r>
            <a:r>
              <a:rPr lang="en-US" b="1" baseline="0"/>
              <a:t> Authors</a:t>
            </a:r>
          </a:p>
          <a:p>
            <a:pPr>
              <a:defRPr b="1"/>
            </a:pPr>
            <a:r>
              <a:rPr lang="en-US" b="1" baseline="0"/>
              <a:t>Department of Chemistry &amp; Biochemistry</a:t>
            </a:r>
            <a:endParaRPr lang="en-US" b="1"/>
          </a:p>
        </c:rich>
      </c:tx>
      <c:layout>
        <c:manualLayout>
          <c:xMode val="edge"/>
          <c:yMode val="edge"/>
          <c:x val="0.16559711286089238"/>
          <c:y val="5.6338028169014086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Sheet1!$B$2</c:f>
              <c:strCache>
                <c:ptCount val="1"/>
                <c:pt idx="0">
                  <c:v>Publications</c:v>
                </c:pt>
              </c:strCache>
            </c:strRef>
          </c:tx>
          <c:spPr>
            <a:solidFill>
              <a:schemeClr val="accent1"/>
            </a:solidFill>
            <a:ln>
              <a:noFill/>
            </a:ln>
            <a:effectLst/>
          </c:spPr>
          <c:invertIfNegative val="0"/>
          <c:val>
            <c:numRef>
              <c:f>Sheet1!$B$3:$B$5</c:f>
              <c:numCache>
                <c:formatCode>General</c:formatCode>
                <c:ptCount val="3"/>
                <c:pt idx="0">
                  <c:v>20</c:v>
                </c:pt>
                <c:pt idx="1">
                  <c:v>34</c:v>
                </c:pt>
                <c:pt idx="2">
                  <c:v>18</c:v>
                </c:pt>
              </c:numCache>
            </c:numRef>
          </c:val>
          <c:extLst>
            <c:ext xmlns:c16="http://schemas.microsoft.com/office/drawing/2014/chart" uri="{C3380CC4-5D6E-409C-BE32-E72D297353CC}">
              <c16:uniqueId val="{00000000-3EF1-0645-9E4B-184A80A59FC1}"/>
            </c:ext>
          </c:extLst>
        </c:ser>
        <c:dLbls>
          <c:showLegendKey val="0"/>
          <c:showVal val="0"/>
          <c:showCatName val="0"/>
          <c:showSerName val="0"/>
          <c:showPercent val="0"/>
          <c:showBubbleSize val="0"/>
        </c:dLbls>
        <c:gapWidth val="182"/>
        <c:axId val="117006207"/>
        <c:axId val="117007887"/>
      </c:barChart>
      <c:catAx>
        <c:axId val="11700620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007887"/>
        <c:crosses val="autoZero"/>
        <c:auto val="1"/>
        <c:lblAlgn val="ctr"/>
        <c:lblOffset val="100"/>
        <c:noMultiLvlLbl val="0"/>
      </c:catAx>
      <c:valAx>
        <c:axId val="1170078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17006207"/>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0.16495</cdr:x>
      <cdr:y>0.90374</cdr:y>
    </cdr:from>
    <cdr:to>
      <cdr:x>0.28902</cdr:x>
      <cdr:y>0.97858</cdr:y>
    </cdr:to>
    <cdr:sp macro="" textlink="">
      <cdr:nvSpPr>
        <cdr:cNvPr id="2" name="TextBox 1">
          <a:extLst xmlns:a="http://schemas.openxmlformats.org/drawingml/2006/main">
            <a:ext uri="{FF2B5EF4-FFF2-40B4-BE49-F238E27FC236}">
              <a16:creationId xmlns:a16="http://schemas.microsoft.com/office/drawing/2014/main" id="{55A42FAA-CD4C-0A41-B0D1-1919AB97119D}"/>
            </a:ext>
          </a:extLst>
        </cdr:cNvPr>
        <cdr:cNvSpPr txBox="1"/>
      </cdr:nvSpPr>
      <cdr:spPr>
        <a:xfrm xmlns:a="http://schemas.openxmlformats.org/drawingml/2006/main" flipH="1">
          <a:off x="677896" y="2828043"/>
          <a:ext cx="509880" cy="234200"/>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r>
            <a:rPr lang="en-US" sz="900" b="1"/>
            <a:t>2016</a:t>
          </a:r>
        </a:p>
      </cdr:txBody>
    </cdr:sp>
  </cdr:relSizeAnchor>
  <cdr:relSizeAnchor xmlns:cdr="http://schemas.openxmlformats.org/drawingml/2006/chartDrawing">
    <cdr:from>
      <cdr:x>0.46621</cdr:x>
      <cdr:y>0.90244</cdr:y>
    </cdr:from>
    <cdr:to>
      <cdr:x>0.57803</cdr:x>
      <cdr:y>0.96959</cdr:y>
    </cdr:to>
    <cdr:sp macro="" textlink="">
      <cdr:nvSpPr>
        <cdr:cNvPr id="4" name="TextBox 1">
          <a:extLst xmlns:a="http://schemas.openxmlformats.org/drawingml/2006/main"/>
        </cdr:cNvPr>
        <cdr:cNvSpPr txBox="1"/>
      </cdr:nvSpPr>
      <cdr:spPr>
        <a:xfrm xmlns:a="http://schemas.openxmlformats.org/drawingml/2006/main">
          <a:off x="1915976" y="2823987"/>
          <a:ext cx="459577" cy="210121"/>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t>2017</a:t>
          </a:r>
        </a:p>
        <a:p xmlns:a="http://schemas.openxmlformats.org/drawingml/2006/main">
          <a:r>
            <a:rPr lang="en-US" sz="900" b="1"/>
            <a:t>Year</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1080</Words>
  <Characters>6159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Bramhall</dc:creator>
  <cp:keywords/>
  <dc:description/>
  <cp:lastModifiedBy>David Tyler</cp:lastModifiedBy>
  <cp:revision>9</cp:revision>
  <cp:lastPrinted>2018-11-07T22:49:00Z</cp:lastPrinted>
  <dcterms:created xsi:type="dcterms:W3CDTF">2018-12-06T23:10:00Z</dcterms:created>
  <dcterms:modified xsi:type="dcterms:W3CDTF">2018-12-06T23:13:00Z</dcterms:modified>
</cp:coreProperties>
</file>