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6F75A13E" w:rsidR="00656CEA" w:rsidRDefault="00656CEA" w:rsidP="005F5867">
      <w:pPr>
        <w:jc w:val="center"/>
        <w:rPr>
          <w:b/>
          <w:sz w:val="24"/>
          <w:szCs w:val="24"/>
        </w:rPr>
      </w:pPr>
      <w:r w:rsidRPr="00C1398B">
        <w:rPr>
          <w:b/>
          <w:sz w:val="24"/>
          <w:szCs w:val="24"/>
        </w:rPr>
        <w:t xml:space="preserve">College of Arts and Sciences </w:t>
      </w:r>
    </w:p>
    <w:p w14:paraId="0EB7C422" w14:textId="2AC0B543" w:rsidR="005F5867" w:rsidRPr="00C1398B" w:rsidRDefault="005F5867" w:rsidP="005F5867">
      <w:pPr>
        <w:jc w:val="center"/>
        <w:rPr>
          <w:b/>
          <w:sz w:val="24"/>
          <w:szCs w:val="24"/>
        </w:rPr>
      </w:pPr>
      <w:r>
        <w:rPr>
          <w:b/>
          <w:sz w:val="24"/>
          <w:szCs w:val="24"/>
        </w:rPr>
        <w:t>Department of Anthropology</w:t>
      </w:r>
      <w:bookmarkStart w:id="0" w:name="_GoBack"/>
      <w:bookmarkEnd w:id="0"/>
    </w:p>
    <w:p w14:paraId="59DFC3BF" w14:textId="77777777" w:rsidR="000E05BC" w:rsidRPr="00C1398B" w:rsidRDefault="00B7206F"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B7206F"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B7206F"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B7206F"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B7206F"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B7206F"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B7206F"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B7206F"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B7206F"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B7206F"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B7206F"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B7206F"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26B72" w14:textId="77777777" w:rsidR="00B7206F" w:rsidRDefault="00B7206F">
      <w:r>
        <w:separator/>
      </w:r>
    </w:p>
  </w:endnote>
  <w:endnote w:type="continuationSeparator" w:id="0">
    <w:p w14:paraId="3FE135A3" w14:textId="77777777" w:rsidR="00B7206F" w:rsidRDefault="00B7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2341AFF8" w:rsidR="003274B7" w:rsidRDefault="003274B7">
                          <w:pPr>
                            <w:pStyle w:val="BodyText"/>
                            <w:spacing w:line="244" w:lineRule="exact"/>
                            <w:ind w:left="40"/>
                          </w:pPr>
                          <w:r>
                            <w:fldChar w:fldCharType="begin"/>
                          </w:r>
                          <w:r>
                            <w:rPr>
                              <w:color w:val="231F20"/>
                            </w:rPr>
                            <w:instrText xml:space="preserve"> PAGE </w:instrText>
                          </w:r>
                          <w:r>
                            <w:fldChar w:fldCharType="separate"/>
                          </w:r>
                          <w:r w:rsidR="005F5867">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2341AFF8" w:rsidR="003274B7" w:rsidRDefault="003274B7">
                    <w:pPr>
                      <w:pStyle w:val="BodyText"/>
                      <w:spacing w:line="244" w:lineRule="exact"/>
                      <w:ind w:left="40"/>
                    </w:pPr>
                    <w:r>
                      <w:fldChar w:fldCharType="begin"/>
                    </w:r>
                    <w:r>
                      <w:rPr>
                        <w:color w:val="231F20"/>
                      </w:rPr>
                      <w:instrText xml:space="preserve"> PAGE </w:instrText>
                    </w:r>
                    <w:r>
                      <w:fldChar w:fldCharType="separate"/>
                    </w:r>
                    <w:r w:rsidR="005F5867">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133B2E8A" w:rsidR="00D20772" w:rsidRDefault="0083096C">
                          <w:pPr>
                            <w:pStyle w:val="BodyText"/>
                            <w:spacing w:line="244" w:lineRule="exact"/>
                            <w:ind w:left="40"/>
                          </w:pPr>
                          <w:r>
                            <w:fldChar w:fldCharType="begin"/>
                          </w:r>
                          <w:r>
                            <w:rPr>
                              <w:color w:val="231F20"/>
                            </w:rPr>
                            <w:instrText xml:space="preserve"> PAGE </w:instrText>
                          </w:r>
                          <w:r>
                            <w:fldChar w:fldCharType="separate"/>
                          </w:r>
                          <w:r w:rsidR="005F5867">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133B2E8A" w:rsidR="00D20772" w:rsidRDefault="0083096C">
                    <w:pPr>
                      <w:pStyle w:val="BodyText"/>
                      <w:spacing w:line="244" w:lineRule="exact"/>
                      <w:ind w:left="40"/>
                    </w:pPr>
                    <w:r>
                      <w:fldChar w:fldCharType="begin"/>
                    </w:r>
                    <w:r>
                      <w:rPr>
                        <w:color w:val="231F20"/>
                      </w:rPr>
                      <w:instrText xml:space="preserve"> PAGE </w:instrText>
                    </w:r>
                    <w:r>
                      <w:fldChar w:fldCharType="separate"/>
                    </w:r>
                    <w:r w:rsidR="005F5867">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3EB14" w14:textId="77777777" w:rsidR="00B7206F" w:rsidRDefault="00B7206F">
      <w:r>
        <w:separator/>
      </w:r>
    </w:p>
  </w:footnote>
  <w:footnote w:type="continuationSeparator" w:id="0">
    <w:p w14:paraId="0E354E7C" w14:textId="77777777" w:rsidR="00B7206F" w:rsidRDefault="00B7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923D7"/>
    <w:rsid w:val="000A4901"/>
    <w:rsid w:val="000D6BBD"/>
    <w:rsid w:val="000E1E29"/>
    <w:rsid w:val="000F1948"/>
    <w:rsid w:val="00105CF7"/>
    <w:rsid w:val="001319E3"/>
    <w:rsid w:val="001B253B"/>
    <w:rsid w:val="001C2A7D"/>
    <w:rsid w:val="00207657"/>
    <w:rsid w:val="00221599"/>
    <w:rsid w:val="00235AC2"/>
    <w:rsid w:val="002466A6"/>
    <w:rsid w:val="002504F4"/>
    <w:rsid w:val="0025432D"/>
    <w:rsid w:val="002803A4"/>
    <w:rsid w:val="00280997"/>
    <w:rsid w:val="002825A5"/>
    <w:rsid w:val="00284D27"/>
    <w:rsid w:val="00293E2D"/>
    <w:rsid w:val="00297E46"/>
    <w:rsid w:val="002B7869"/>
    <w:rsid w:val="002D12B2"/>
    <w:rsid w:val="00304B10"/>
    <w:rsid w:val="003274B7"/>
    <w:rsid w:val="00331240"/>
    <w:rsid w:val="00333094"/>
    <w:rsid w:val="00353742"/>
    <w:rsid w:val="0038091F"/>
    <w:rsid w:val="00383862"/>
    <w:rsid w:val="003865E4"/>
    <w:rsid w:val="003901AD"/>
    <w:rsid w:val="00394A3D"/>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4390"/>
    <w:rsid w:val="004A0071"/>
    <w:rsid w:val="004A0F0E"/>
    <w:rsid w:val="004B7D89"/>
    <w:rsid w:val="004D2A4D"/>
    <w:rsid w:val="00504512"/>
    <w:rsid w:val="005454B3"/>
    <w:rsid w:val="00553D16"/>
    <w:rsid w:val="00570177"/>
    <w:rsid w:val="005735E2"/>
    <w:rsid w:val="00597E85"/>
    <w:rsid w:val="005A224C"/>
    <w:rsid w:val="005A4146"/>
    <w:rsid w:val="005B081E"/>
    <w:rsid w:val="005C14C6"/>
    <w:rsid w:val="005D629F"/>
    <w:rsid w:val="005E01E3"/>
    <w:rsid w:val="005E1B61"/>
    <w:rsid w:val="005F5867"/>
    <w:rsid w:val="006020FA"/>
    <w:rsid w:val="006029B2"/>
    <w:rsid w:val="00621885"/>
    <w:rsid w:val="0063422E"/>
    <w:rsid w:val="006404FC"/>
    <w:rsid w:val="00651ABB"/>
    <w:rsid w:val="00656CEA"/>
    <w:rsid w:val="006673C5"/>
    <w:rsid w:val="006D18AA"/>
    <w:rsid w:val="006F2493"/>
    <w:rsid w:val="00716398"/>
    <w:rsid w:val="007213BD"/>
    <w:rsid w:val="007349B8"/>
    <w:rsid w:val="0073666E"/>
    <w:rsid w:val="00754B5C"/>
    <w:rsid w:val="00773540"/>
    <w:rsid w:val="0078268B"/>
    <w:rsid w:val="007A2B08"/>
    <w:rsid w:val="007D2D39"/>
    <w:rsid w:val="007E4308"/>
    <w:rsid w:val="0080708C"/>
    <w:rsid w:val="0083096C"/>
    <w:rsid w:val="00864350"/>
    <w:rsid w:val="00886579"/>
    <w:rsid w:val="00895C86"/>
    <w:rsid w:val="008979C4"/>
    <w:rsid w:val="008A3B67"/>
    <w:rsid w:val="008D73A4"/>
    <w:rsid w:val="008F74B8"/>
    <w:rsid w:val="009028B7"/>
    <w:rsid w:val="00920F28"/>
    <w:rsid w:val="0094614C"/>
    <w:rsid w:val="00947615"/>
    <w:rsid w:val="00970788"/>
    <w:rsid w:val="009707AC"/>
    <w:rsid w:val="009779CA"/>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C09B2"/>
    <w:rsid w:val="00AC1738"/>
    <w:rsid w:val="00AD66CA"/>
    <w:rsid w:val="00AE4548"/>
    <w:rsid w:val="00AF4DD2"/>
    <w:rsid w:val="00B03328"/>
    <w:rsid w:val="00B10B57"/>
    <w:rsid w:val="00B12922"/>
    <w:rsid w:val="00B44D40"/>
    <w:rsid w:val="00B62586"/>
    <w:rsid w:val="00B7206F"/>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79CF"/>
    <w:rsid w:val="00C64EEE"/>
    <w:rsid w:val="00C80304"/>
    <w:rsid w:val="00CB5A4B"/>
    <w:rsid w:val="00CE08D3"/>
    <w:rsid w:val="00CF3628"/>
    <w:rsid w:val="00CF4634"/>
    <w:rsid w:val="00CF6243"/>
    <w:rsid w:val="00CF749B"/>
    <w:rsid w:val="00D068B2"/>
    <w:rsid w:val="00D1730B"/>
    <w:rsid w:val="00D21B91"/>
    <w:rsid w:val="00D750B2"/>
    <w:rsid w:val="00D83112"/>
    <w:rsid w:val="00D95F25"/>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94248"/>
    <w:rsid w:val="00FA21B6"/>
    <w:rsid w:val="00FC3DC2"/>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2BDCB-B177-431D-824A-049E4295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2019-01-05T00:54:00Z</dcterms:created>
  <dcterms:modified xsi:type="dcterms:W3CDTF">2019-01-05T00:54:00Z</dcterms:modified>
</cp:coreProperties>
</file>